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6899"/>
      </w:tblGrid>
      <w:tr w:rsidR="00405142" w14:paraId="19463223" w14:textId="77777777" w:rsidTr="00FA11C4">
        <w:trPr>
          <w:trHeight w:val="756"/>
        </w:trPr>
        <w:tc>
          <w:tcPr>
            <w:tcW w:w="1796" w:type="dxa"/>
          </w:tcPr>
          <w:p w14:paraId="4C4D138D" w14:textId="0DC84A21" w:rsidR="00405142" w:rsidRDefault="00405142" w:rsidP="00FA11C4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3C37430" wp14:editId="009C7886">
                  <wp:extent cx="485140" cy="341630"/>
                  <wp:effectExtent l="0" t="0" r="0" b="1270"/>
                  <wp:docPr id="83176143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3F851" w14:textId="77777777" w:rsidR="00405142" w:rsidRDefault="00405142" w:rsidP="00FA11C4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8"/>
              </w:rPr>
              <w:t xml:space="preserve">Rok założenia </w:t>
            </w:r>
            <w:r>
              <w:rPr>
                <w:b/>
                <w:sz w:val="16"/>
              </w:rPr>
              <w:t>1961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18A0B14" w14:textId="77777777" w:rsidR="00405142" w:rsidRDefault="00405142" w:rsidP="00FA11C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27D7B4F7" w14:textId="77777777" w:rsidR="00405142" w:rsidRDefault="00405142" w:rsidP="00FA11C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BANK SPÓŁDZIELCZY W KOŁACZYCACH</w:t>
            </w:r>
          </w:p>
        </w:tc>
      </w:tr>
    </w:tbl>
    <w:p w14:paraId="1966DBE3" w14:textId="77777777" w:rsidR="00405142" w:rsidRPr="00405142" w:rsidRDefault="00405142" w:rsidP="00C3219E">
      <w:pPr>
        <w:keepNext/>
        <w:spacing w:after="120"/>
        <w:ind w:left="4254" w:firstLine="141"/>
        <w:outlineLvl w:val="4"/>
        <w:rPr>
          <w:rFonts w:ascii="Calibri" w:hAnsi="Calibri"/>
          <w:i/>
          <w:color w:val="7F7F7F"/>
          <w:sz w:val="6"/>
          <w:szCs w:val="6"/>
          <w:highlight w:val="yellow"/>
        </w:rPr>
      </w:pPr>
    </w:p>
    <w:p w14:paraId="3DF11A7A" w14:textId="15848ECC" w:rsidR="00C3219E" w:rsidRPr="000E7228" w:rsidRDefault="00C3219E" w:rsidP="00C3219E">
      <w:pPr>
        <w:keepNext/>
        <w:spacing w:after="120"/>
        <w:ind w:left="4254" w:firstLine="141"/>
        <w:outlineLvl w:val="4"/>
        <w:rPr>
          <w:rFonts w:ascii="Calibri" w:hAnsi="Calibri"/>
          <w:b/>
          <w:sz w:val="18"/>
          <w:szCs w:val="18"/>
        </w:rPr>
      </w:pPr>
      <w:r w:rsidRPr="00AF7FDF">
        <w:rPr>
          <w:rFonts w:ascii="Calibri" w:hAnsi="Calibri"/>
          <w:i/>
          <w:color w:val="7F7F7F"/>
          <w:sz w:val="18"/>
          <w:szCs w:val="18"/>
        </w:rPr>
        <w:t xml:space="preserve">Załącznik nr </w:t>
      </w:r>
      <w:r w:rsidR="00A4266A" w:rsidRPr="00AF7FDF">
        <w:rPr>
          <w:rFonts w:ascii="Calibri" w:hAnsi="Calibri"/>
          <w:i/>
          <w:color w:val="7F7F7F"/>
          <w:sz w:val="18"/>
          <w:szCs w:val="18"/>
        </w:rPr>
        <w:t>1 do Wzorcowego Planu aneksowania umów kredytowych zawartych z klientami indywidualnymi</w:t>
      </w:r>
    </w:p>
    <w:p w14:paraId="1B610C6A" w14:textId="77777777" w:rsidR="008934D3" w:rsidRPr="00D45D74" w:rsidRDefault="008934D3" w:rsidP="008934D3">
      <w:pPr>
        <w:keepNext/>
        <w:outlineLvl w:val="4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Calibri" w:hAnsi="Calibri"/>
          <w:sz w:val="16"/>
          <w:szCs w:val="16"/>
        </w:rPr>
        <w:tab/>
      </w:r>
    </w:p>
    <w:p w14:paraId="63B3E99D" w14:textId="77777777" w:rsidR="004A1BCB" w:rsidRPr="00405142" w:rsidRDefault="004A1BCB" w:rsidP="008934D3">
      <w:pPr>
        <w:tabs>
          <w:tab w:val="left" w:pos="391"/>
        </w:tabs>
        <w:rPr>
          <w:rFonts w:ascii="Calibri" w:hAnsi="Calibri"/>
          <w:sz w:val="16"/>
          <w:szCs w:val="16"/>
        </w:rPr>
      </w:pPr>
    </w:p>
    <w:p w14:paraId="08160EDF" w14:textId="3DD6CC2C" w:rsidR="00D11740" w:rsidRPr="00405142" w:rsidRDefault="00D11740" w:rsidP="00D11740">
      <w:pPr>
        <w:keepNext/>
        <w:spacing w:after="120"/>
        <w:jc w:val="center"/>
        <w:outlineLvl w:val="4"/>
        <w:rPr>
          <w:rFonts w:ascii="Calibri" w:hAnsi="Calibri" w:cs="Arial"/>
          <w:b/>
          <w:sz w:val="22"/>
          <w:szCs w:val="22"/>
          <w:lang w:eastAsia="pl-PL"/>
        </w:rPr>
      </w:pPr>
      <w:r w:rsidRPr="00405142">
        <w:rPr>
          <w:rFonts w:ascii="Calibri" w:hAnsi="Calibri" w:cs="Arial"/>
          <w:b/>
          <w:sz w:val="22"/>
          <w:szCs w:val="22"/>
          <w:lang w:eastAsia="pl-PL"/>
        </w:rPr>
        <w:t xml:space="preserve">Aneks nr </w:t>
      </w:r>
      <w:r w:rsidR="00252F1F" w:rsidRPr="00405142">
        <w:rPr>
          <w:rFonts w:ascii="Calibri" w:hAnsi="Calibri" w:cs="Arial"/>
          <w:b/>
          <w:sz w:val="22"/>
          <w:szCs w:val="22"/>
          <w:lang w:eastAsia="pl-PL"/>
        </w:rPr>
        <w:t>…</w:t>
      </w:r>
      <w:r w:rsidR="00405142">
        <w:rPr>
          <w:rFonts w:ascii="Calibri" w:hAnsi="Calibri" w:cs="Arial"/>
          <w:b/>
          <w:sz w:val="22"/>
          <w:szCs w:val="22"/>
          <w:lang w:eastAsia="pl-PL"/>
        </w:rPr>
        <w:t>………..</w:t>
      </w:r>
      <w:r w:rsidR="00252F1F" w:rsidRPr="00405142">
        <w:rPr>
          <w:rFonts w:ascii="Calibri" w:hAnsi="Calibri" w:cs="Arial"/>
          <w:b/>
          <w:sz w:val="22"/>
          <w:szCs w:val="22"/>
          <w:lang w:eastAsia="pl-PL"/>
        </w:rPr>
        <w:t>.</w:t>
      </w:r>
    </w:p>
    <w:p w14:paraId="51452487" w14:textId="77777777" w:rsidR="00375899" w:rsidRPr="00405142" w:rsidRDefault="00147640" w:rsidP="004F6CB1">
      <w:pPr>
        <w:keepNext/>
        <w:spacing w:after="120"/>
        <w:jc w:val="center"/>
        <w:outlineLvl w:val="4"/>
        <w:rPr>
          <w:rFonts w:ascii="Calibri" w:hAnsi="Calibri" w:cs="Arial"/>
          <w:b/>
          <w:sz w:val="22"/>
          <w:szCs w:val="22"/>
          <w:lang w:eastAsia="pl-PL"/>
        </w:rPr>
      </w:pPr>
      <w:r w:rsidRPr="00405142">
        <w:rPr>
          <w:rFonts w:ascii="Calibri" w:hAnsi="Calibri" w:cs="Calibri"/>
          <w:b/>
          <w:sz w:val="22"/>
          <w:szCs w:val="22"/>
        </w:rPr>
        <w:t>DO UMOWY</w:t>
      </w:r>
      <w:r w:rsidR="00D11740" w:rsidRPr="00405142">
        <w:rPr>
          <w:rFonts w:ascii="Calibri" w:hAnsi="Calibri" w:cs="Calibri"/>
          <w:b/>
          <w:sz w:val="22"/>
          <w:szCs w:val="22"/>
        </w:rPr>
        <w:t xml:space="preserve"> KREDYTU </w:t>
      </w:r>
      <w:r w:rsidR="009A357C" w:rsidRPr="00405142">
        <w:rPr>
          <w:rFonts w:ascii="Calibri" w:hAnsi="Calibri" w:cs="Arial"/>
          <w:b/>
          <w:sz w:val="22"/>
          <w:szCs w:val="22"/>
          <w:lang w:eastAsia="pl-PL"/>
        </w:rPr>
        <w:t>…………………..</w:t>
      </w:r>
      <w:r w:rsidR="00375899" w:rsidRPr="00405142">
        <w:rPr>
          <w:rFonts w:ascii="Calibri" w:hAnsi="Calibri" w:cs="Arial"/>
          <w:b/>
          <w:sz w:val="22"/>
          <w:szCs w:val="22"/>
          <w:lang w:eastAsia="pl-PL"/>
        </w:rPr>
        <w:t xml:space="preserve"> NR </w:t>
      </w:r>
      <w:r w:rsidR="00175D05" w:rsidRPr="00405142">
        <w:rPr>
          <w:rFonts w:ascii="Calibri" w:hAnsi="Calibri" w:cs="Arial"/>
          <w:b/>
          <w:sz w:val="22"/>
          <w:szCs w:val="22"/>
          <w:lang w:eastAsia="pl-PL"/>
        </w:rPr>
        <w:t>………………………………………</w:t>
      </w:r>
      <w:r w:rsidR="00CF2D05" w:rsidRPr="00405142">
        <w:rPr>
          <w:rFonts w:ascii="Calibri" w:hAnsi="Calibri" w:cs="Arial"/>
          <w:b/>
          <w:sz w:val="22"/>
          <w:szCs w:val="22"/>
          <w:lang w:eastAsia="pl-PL"/>
        </w:rPr>
        <w:t xml:space="preserve"> </w:t>
      </w:r>
      <w:r w:rsidR="00375899" w:rsidRPr="00405142">
        <w:rPr>
          <w:rFonts w:ascii="Calibri" w:hAnsi="Calibri" w:cs="Arial"/>
          <w:b/>
          <w:sz w:val="22"/>
          <w:szCs w:val="22"/>
          <w:lang w:eastAsia="pl-PL"/>
        </w:rPr>
        <w:t xml:space="preserve">Z DNIA </w:t>
      </w:r>
      <w:r w:rsidR="00175D05" w:rsidRPr="00405142">
        <w:rPr>
          <w:rFonts w:ascii="Calibri" w:hAnsi="Calibri" w:cs="Arial"/>
          <w:b/>
          <w:sz w:val="22"/>
          <w:szCs w:val="22"/>
          <w:lang w:eastAsia="pl-PL"/>
        </w:rPr>
        <w:t>……………………………….</w:t>
      </w:r>
      <w:r w:rsidR="001F20D0" w:rsidRPr="00405142">
        <w:rPr>
          <w:rFonts w:ascii="Calibri" w:hAnsi="Calibri" w:cs="Arial"/>
          <w:b/>
          <w:sz w:val="22"/>
          <w:szCs w:val="22"/>
          <w:lang w:eastAsia="pl-PL"/>
        </w:rPr>
        <w:t xml:space="preserve"> r.</w:t>
      </w:r>
      <w:r w:rsidR="001122C9" w:rsidRPr="00405142">
        <w:rPr>
          <w:rFonts w:ascii="Calibri" w:hAnsi="Calibri" w:cs="Arial"/>
          <w:b/>
          <w:sz w:val="22"/>
          <w:szCs w:val="22"/>
          <w:lang w:eastAsia="pl-PL"/>
        </w:rPr>
        <w:t xml:space="preserve"> </w:t>
      </w:r>
      <w:r w:rsidR="004F6CB1" w:rsidRPr="00405142">
        <w:rPr>
          <w:rFonts w:ascii="Calibri" w:hAnsi="Calibri" w:cs="Arial"/>
          <w:b/>
          <w:sz w:val="22"/>
          <w:szCs w:val="22"/>
          <w:lang w:eastAsia="pl-PL"/>
        </w:rPr>
        <w:br/>
      </w:r>
      <w:r w:rsidR="00FA02AC" w:rsidRPr="00405142">
        <w:rPr>
          <w:rFonts w:ascii="Calibri" w:hAnsi="Calibri" w:cs="Arial"/>
          <w:b/>
          <w:sz w:val="22"/>
          <w:szCs w:val="22"/>
          <w:lang w:eastAsia="pl-PL"/>
        </w:rPr>
        <w:t>(dalej: Umowa)</w:t>
      </w:r>
    </w:p>
    <w:p w14:paraId="64972CA0" w14:textId="77777777" w:rsidR="00F51AD4" w:rsidRPr="00405142" w:rsidRDefault="00F51AD4" w:rsidP="00F51AD4">
      <w:pPr>
        <w:spacing w:after="120"/>
        <w:jc w:val="both"/>
        <w:rPr>
          <w:rFonts w:ascii="Calibri" w:hAnsi="Calibri" w:cs="Arial"/>
        </w:rPr>
      </w:pPr>
      <w:r w:rsidRPr="00405142">
        <w:rPr>
          <w:rFonts w:ascii="Calibri" w:hAnsi="Calibri" w:cs="Arial"/>
        </w:rPr>
        <w:t xml:space="preserve">zwany dalej „aneksem” zawarty w dniu, </w:t>
      </w:r>
      <w:r w:rsidR="00252F1F" w:rsidRPr="00405142">
        <w:rPr>
          <w:rFonts w:ascii="Calibri" w:hAnsi="Calibri" w:cs="Arial"/>
        </w:rPr>
        <w:t>……………………………………..</w:t>
      </w:r>
      <w:r w:rsidRPr="00405142">
        <w:rPr>
          <w:rFonts w:ascii="Calibri" w:hAnsi="Calibri" w:cs="Arial"/>
        </w:rPr>
        <w:t xml:space="preserve"> w </w:t>
      </w:r>
      <w:r w:rsidR="00252F1F" w:rsidRPr="00405142">
        <w:rPr>
          <w:rFonts w:ascii="Calibri" w:hAnsi="Calibri" w:cs="Arial"/>
        </w:rPr>
        <w:t>………………………………………………………..</w:t>
      </w:r>
      <w:r w:rsidRPr="00405142">
        <w:rPr>
          <w:rFonts w:ascii="Calibri" w:hAnsi="Calibri" w:cs="Arial"/>
        </w:rPr>
        <w:t>pomiędzy:</w:t>
      </w:r>
    </w:p>
    <w:p w14:paraId="1697F14F" w14:textId="73F34F9C" w:rsidR="00FB581B" w:rsidRPr="00405142" w:rsidRDefault="00FB581B" w:rsidP="00FB581B">
      <w:pPr>
        <w:spacing w:after="120"/>
        <w:jc w:val="both"/>
        <w:rPr>
          <w:rFonts w:ascii="Calibri" w:hAnsi="Calibri" w:cs="Calibri"/>
          <w:bCs/>
        </w:rPr>
      </w:pPr>
      <w:r w:rsidRPr="00405142">
        <w:rPr>
          <w:rFonts w:ascii="Calibri" w:hAnsi="Calibri" w:cs="Arial"/>
        </w:rPr>
        <w:t xml:space="preserve">Bankiem </w:t>
      </w:r>
      <w:r w:rsidR="00405142" w:rsidRPr="00405142">
        <w:rPr>
          <w:rFonts w:ascii="Calibri" w:hAnsi="Calibri" w:cs="Arial"/>
        </w:rPr>
        <w:t>Spółdzielczym w Kołaczycach</w:t>
      </w:r>
      <w:r w:rsidRPr="00405142">
        <w:rPr>
          <w:rFonts w:ascii="Calibri" w:hAnsi="Calibri" w:cs="Arial"/>
        </w:rPr>
        <w:t xml:space="preserve"> z siedzibą w </w:t>
      </w:r>
      <w:r w:rsidR="00405142" w:rsidRPr="00405142">
        <w:rPr>
          <w:rFonts w:ascii="Calibri" w:hAnsi="Calibri" w:cs="Arial"/>
        </w:rPr>
        <w:t>Kołaczycach</w:t>
      </w:r>
      <w:r w:rsidRPr="00405142">
        <w:rPr>
          <w:rFonts w:ascii="Calibri" w:hAnsi="Calibri" w:cs="Arial"/>
        </w:rPr>
        <w:t xml:space="preserve">, </w:t>
      </w:r>
      <w:r w:rsidR="00405142" w:rsidRPr="00405142">
        <w:rPr>
          <w:rFonts w:ascii="Calibri" w:hAnsi="Calibri" w:cs="Arial"/>
        </w:rPr>
        <w:t>38-213 Kołaczyce</w:t>
      </w:r>
      <w:r w:rsidRPr="00405142">
        <w:rPr>
          <w:rFonts w:ascii="Calibri" w:hAnsi="Calibri" w:cs="Arial"/>
        </w:rPr>
        <w:t xml:space="preserve">, ul. </w:t>
      </w:r>
      <w:r w:rsidR="00405142" w:rsidRPr="00405142">
        <w:rPr>
          <w:rFonts w:ascii="Calibri" w:hAnsi="Calibri" w:cs="Arial"/>
        </w:rPr>
        <w:t>Rynek 2</w:t>
      </w:r>
      <w:r w:rsidRPr="00405142">
        <w:rPr>
          <w:rFonts w:ascii="Calibri" w:hAnsi="Calibri" w:cs="Arial"/>
        </w:rPr>
        <w:t xml:space="preserve">, </w:t>
      </w:r>
      <w:r w:rsidR="00405142" w:rsidRPr="00405142">
        <w:rPr>
          <w:rFonts w:ascii="Calibri" w:hAnsi="Calibri" w:cs="Calibri"/>
          <w:bCs/>
        </w:rPr>
        <w:t xml:space="preserve">którego dokumentacja jest przechowywana w Sądzie Rejonowym w Rzeszowie XII Wydział Gospodarczy Krajowego Rejestru Sądowego, wpisanym do rejestru przedsiębiorców pod numerem KRS </w:t>
      </w:r>
      <w:bookmarkStart w:id="0" w:name="_Hlk161047085"/>
      <w:r w:rsidR="00405142" w:rsidRPr="00405142">
        <w:rPr>
          <w:rFonts w:ascii="Calibri" w:hAnsi="Calibri" w:cs="Calibri"/>
          <w:bCs/>
        </w:rPr>
        <w:t>0000124786</w:t>
      </w:r>
      <w:bookmarkEnd w:id="0"/>
      <w:r w:rsidR="00405142" w:rsidRPr="00405142">
        <w:rPr>
          <w:rFonts w:ascii="Calibri" w:hAnsi="Calibri" w:cs="Calibri"/>
          <w:bCs/>
        </w:rPr>
        <w:t>,  NIP 685-000-70-84, Regon 000506811</w:t>
      </w:r>
      <w:r w:rsidR="00252F1F" w:rsidRPr="00405142">
        <w:rPr>
          <w:rFonts w:ascii="Calibri" w:hAnsi="Calibri" w:cs="Calibri"/>
          <w:bCs/>
        </w:rPr>
        <w:t>.</w:t>
      </w:r>
    </w:p>
    <w:p w14:paraId="5E112EDA" w14:textId="77777777" w:rsidR="00D11740" w:rsidRPr="00405142" w:rsidRDefault="00D11740" w:rsidP="00D11740">
      <w:pPr>
        <w:pStyle w:val="t36"/>
        <w:tabs>
          <w:tab w:val="left" w:pos="7230"/>
        </w:tabs>
        <w:spacing w:line="360" w:lineRule="auto"/>
        <w:rPr>
          <w:rFonts w:ascii="Calibri" w:hAnsi="Calibri" w:cs="Arial"/>
          <w:sz w:val="20"/>
          <w:szCs w:val="20"/>
        </w:rPr>
      </w:pPr>
      <w:r w:rsidRPr="00405142">
        <w:rPr>
          <w:rFonts w:ascii="Calibri" w:hAnsi="Calibri" w:cs="Arial"/>
          <w:sz w:val="20"/>
          <w:szCs w:val="20"/>
        </w:rPr>
        <w:t xml:space="preserve">zwanym dalej </w:t>
      </w:r>
      <w:r w:rsidR="006E6AE0" w:rsidRPr="00405142">
        <w:rPr>
          <w:rFonts w:ascii="Calibri" w:hAnsi="Calibri" w:cs="Arial"/>
          <w:sz w:val="20"/>
          <w:szCs w:val="20"/>
        </w:rPr>
        <w:t>„</w:t>
      </w:r>
      <w:r w:rsidRPr="00405142">
        <w:rPr>
          <w:rFonts w:ascii="Calibri" w:hAnsi="Calibri" w:cs="Arial"/>
          <w:bCs/>
          <w:sz w:val="20"/>
        </w:rPr>
        <w:t>Bankiem</w:t>
      </w:r>
      <w:r w:rsidR="006E6AE0" w:rsidRPr="00405142">
        <w:rPr>
          <w:rFonts w:ascii="Calibri" w:hAnsi="Calibri" w:cs="Arial"/>
          <w:bCs/>
          <w:sz w:val="20"/>
        </w:rPr>
        <w:t>”</w:t>
      </w:r>
      <w:r w:rsidRPr="00405142">
        <w:rPr>
          <w:rFonts w:ascii="Calibri" w:hAnsi="Calibri" w:cs="Arial"/>
          <w:sz w:val="20"/>
          <w:szCs w:val="20"/>
        </w:rPr>
        <w:t xml:space="preserve">, </w:t>
      </w:r>
      <w:r w:rsidRPr="00405142">
        <w:rPr>
          <w:rFonts w:ascii="Calibri" w:hAnsi="Calibri" w:cs="Arial"/>
          <w:sz w:val="20"/>
        </w:rPr>
        <w:t>reprezentowanym przez:</w:t>
      </w:r>
    </w:p>
    <w:p w14:paraId="543F4227" w14:textId="77777777" w:rsidR="00D11740" w:rsidRPr="00405142" w:rsidRDefault="00D11740" w:rsidP="00D11740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</w:rPr>
      </w:pPr>
      <w:r w:rsidRPr="00405142">
        <w:rPr>
          <w:rFonts w:ascii="Calibri" w:hAnsi="Calibri" w:cs="Arial"/>
          <w:color w:val="A6A6A6"/>
        </w:rPr>
        <w:t xml:space="preserve"> ________________________________________________</w:t>
      </w:r>
    </w:p>
    <w:p w14:paraId="19D9ADA8" w14:textId="77777777" w:rsidR="00D11740" w:rsidRPr="00405142" w:rsidRDefault="00D11740" w:rsidP="00D11740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</w:rPr>
      </w:pPr>
      <w:r w:rsidRPr="00405142">
        <w:rPr>
          <w:rFonts w:ascii="Calibri" w:hAnsi="Calibri" w:cs="Arial"/>
          <w:color w:val="A6A6A6"/>
        </w:rPr>
        <w:t xml:space="preserve"> ________________________________________________</w:t>
      </w:r>
    </w:p>
    <w:p w14:paraId="4EE7D78D" w14:textId="77777777" w:rsidR="00F51AD4" w:rsidRPr="00D11740" w:rsidRDefault="00D11740" w:rsidP="00367BD1">
      <w:pPr>
        <w:tabs>
          <w:tab w:val="left" w:pos="884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color w:val="595959"/>
          <w:sz w:val="16"/>
        </w:rPr>
      </w:pPr>
      <w:r w:rsidRPr="00405142">
        <w:rPr>
          <w:rFonts w:ascii="Calibri" w:hAnsi="Calibri" w:cs="Arial"/>
          <w:i/>
          <w:iCs/>
          <w:color w:val="595959"/>
          <w:sz w:val="16"/>
        </w:rPr>
        <w:t>(imię i nazwisko</w:t>
      </w:r>
      <w:r w:rsidR="00280DB5" w:rsidRPr="00405142">
        <w:rPr>
          <w:rFonts w:ascii="Calibri" w:hAnsi="Calibri" w:cs="Arial"/>
          <w:i/>
          <w:iCs/>
          <w:color w:val="595959"/>
          <w:sz w:val="16"/>
        </w:rPr>
        <w:t>)</w:t>
      </w:r>
      <w:r w:rsidRPr="008A20CB">
        <w:rPr>
          <w:rFonts w:ascii="Calibri" w:hAnsi="Calibri" w:cs="Arial"/>
          <w:i/>
          <w:iCs/>
          <w:color w:val="595959"/>
          <w:sz w:val="16"/>
        </w:rPr>
        <w:t xml:space="preserve"> </w:t>
      </w:r>
      <w:r w:rsidR="00367BD1">
        <w:rPr>
          <w:rFonts w:ascii="Calibri" w:hAnsi="Calibri" w:cs="Arial"/>
          <w:i/>
          <w:iCs/>
          <w:color w:val="595959"/>
          <w:sz w:val="16"/>
        </w:rPr>
        <w:tab/>
      </w:r>
    </w:p>
    <w:p w14:paraId="2F452E0A" w14:textId="77777777" w:rsidR="00D11740" w:rsidRPr="00405142" w:rsidRDefault="00D11740" w:rsidP="00D11740">
      <w:pPr>
        <w:spacing w:after="120"/>
        <w:jc w:val="both"/>
        <w:rPr>
          <w:rFonts w:ascii="Calibri" w:hAnsi="Calibri" w:cs="Calibri"/>
        </w:rPr>
      </w:pPr>
      <w:r w:rsidRPr="00405142">
        <w:rPr>
          <w:rFonts w:ascii="Calibri" w:hAnsi="Calibri" w:cs="Calibri"/>
        </w:rPr>
        <w:t xml:space="preserve">a </w:t>
      </w:r>
    </w:p>
    <w:p w14:paraId="0C040C1B" w14:textId="77777777" w:rsidR="00D11740" w:rsidRPr="00405142" w:rsidRDefault="00D11740" w:rsidP="00D11740">
      <w:pPr>
        <w:spacing w:after="120"/>
        <w:jc w:val="both"/>
        <w:rPr>
          <w:rFonts w:ascii="Calibri" w:hAnsi="Calibri" w:cs="Calibri"/>
        </w:rPr>
      </w:pPr>
      <w:r w:rsidRPr="00405142">
        <w:rPr>
          <w:rFonts w:ascii="Calibri" w:hAnsi="Calibri" w:cs="Calibri"/>
        </w:rPr>
        <w:t>Kredytobiorcą, którym jest:</w:t>
      </w:r>
    </w:p>
    <w:p w14:paraId="12510C74" w14:textId="77777777" w:rsidR="00D11740" w:rsidRPr="00405142" w:rsidRDefault="00D11740" w:rsidP="00D11740">
      <w:pPr>
        <w:spacing w:after="120"/>
        <w:jc w:val="both"/>
        <w:rPr>
          <w:rFonts w:ascii="Calibri" w:hAnsi="Calibri" w:cs="Calibri"/>
          <w:iCs/>
        </w:rPr>
      </w:pPr>
      <w:r w:rsidRPr="00405142">
        <w:rPr>
          <w:rFonts w:ascii="Calibri" w:hAnsi="Calibri" w:cs="Calibri"/>
          <w:iCs/>
        </w:rPr>
        <w:t xml:space="preserve">Imię i nazwisko Kredytobiorcy: </w:t>
      </w:r>
      <w:r w:rsidR="00175D05" w:rsidRPr="00405142">
        <w:rPr>
          <w:rFonts w:ascii="Calibri" w:hAnsi="Calibri" w:cs="Arial"/>
        </w:rPr>
        <w:t>……………………………………………………….</w:t>
      </w:r>
    </w:p>
    <w:p w14:paraId="4A576ACC" w14:textId="77777777" w:rsidR="00EF095A" w:rsidRPr="00405142" w:rsidRDefault="00D11740" w:rsidP="00D11740">
      <w:pPr>
        <w:spacing w:after="120"/>
        <w:jc w:val="both"/>
        <w:rPr>
          <w:rFonts w:ascii="Calibri" w:hAnsi="Calibri" w:cs="Calibri"/>
          <w:iCs/>
        </w:rPr>
      </w:pPr>
      <w:r w:rsidRPr="00405142">
        <w:rPr>
          <w:rFonts w:ascii="Calibri" w:hAnsi="Calibri" w:cs="Calibri"/>
          <w:iCs/>
        </w:rPr>
        <w:t xml:space="preserve">PESEL: </w:t>
      </w:r>
      <w:r w:rsidR="00175D05" w:rsidRPr="00405142">
        <w:rPr>
          <w:rFonts w:ascii="Calibri" w:hAnsi="Calibri" w:cs="Arial"/>
        </w:rPr>
        <w:t>……………………………………………………….</w:t>
      </w:r>
      <w:r w:rsidRPr="00405142">
        <w:rPr>
          <w:rFonts w:ascii="Calibri" w:hAnsi="Calibri" w:cs="Calibri"/>
          <w:iCs/>
        </w:rPr>
        <w:t xml:space="preserve"> </w:t>
      </w:r>
      <w:r w:rsidR="001F20D0" w:rsidRPr="00405142">
        <w:rPr>
          <w:rFonts w:ascii="Calibri" w:hAnsi="Calibri" w:cs="Calibri"/>
          <w:iCs/>
        </w:rPr>
        <w:t xml:space="preserve">, dowód osobisty </w:t>
      </w:r>
      <w:r w:rsidRPr="00405142">
        <w:rPr>
          <w:rFonts w:ascii="Calibri" w:hAnsi="Calibri" w:cs="Calibri"/>
          <w:iCs/>
        </w:rPr>
        <w:t xml:space="preserve">nr </w:t>
      </w:r>
      <w:r w:rsidR="00175D05" w:rsidRPr="00405142">
        <w:rPr>
          <w:rFonts w:ascii="Calibri" w:hAnsi="Calibri" w:cs="Arial"/>
        </w:rPr>
        <w:t>……………………………………………………….</w:t>
      </w:r>
      <w:r w:rsidRPr="00405142">
        <w:rPr>
          <w:rFonts w:ascii="Calibri" w:hAnsi="Calibri" w:cs="Calibri"/>
          <w:iCs/>
        </w:rPr>
        <w:t xml:space="preserve"> </w:t>
      </w:r>
    </w:p>
    <w:p w14:paraId="16A8F7D7" w14:textId="77777777" w:rsidR="001F20D0" w:rsidRPr="00405142" w:rsidRDefault="001F20D0" w:rsidP="00D11740">
      <w:pPr>
        <w:spacing w:after="120"/>
        <w:jc w:val="both"/>
        <w:rPr>
          <w:rFonts w:ascii="Calibri" w:hAnsi="Calibri" w:cs="Calibri"/>
          <w:iCs/>
        </w:rPr>
      </w:pPr>
      <w:r w:rsidRPr="00405142">
        <w:rPr>
          <w:rFonts w:ascii="Calibri" w:hAnsi="Calibri" w:cs="Calibri"/>
          <w:iCs/>
        </w:rPr>
        <w:t>i</w:t>
      </w:r>
    </w:p>
    <w:p w14:paraId="6B38C3E0" w14:textId="77777777" w:rsidR="001F20D0" w:rsidRPr="00405142" w:rsidRDefault="001F20D0" w:rsidP="001F20D0">
      <w:pPr>
        <w:spacing w:after="120"/>
        <w:jc w:val="both"/>
        <w:rPr>
          <w:rFonts w:ascii="Calibri" w:hAnsi="Calibri" w:cs="Calibri"/>
          <w:iCs/>
        </w:rPr>
      </w:pPr>
      <w:r w:rsidRPr="00405142">
        <w:rPr>
          <w:rFonts w:ascii="Calibri" w:hAnsi="Calibri" w:cs="Calibri"/>
          <w:iCs/>
        </w:rPr>
        <w:t xml:space="preserve">Imię i nazwisko Kredytobiorcy: </w:t>
      </w:r>
      <w:r w:rsidR="00175D05" w:rsidRPr="00405142">
        <w:rPr>
          <w:rFonts w:ascii="Calibri" w:hAnsi="Calibri" w:cs="Arial"/>
        </w:rPr>
        <w:t>……………………………………………………….</w:t>
      </w:r>
    </w:p>
    <w:p w14:paraId="7BBF613B" w14:textId="77777777" w:rsidR="001F20D0" w:rsidRPr="00405142" w:rsidRDefault="001F20D0" w:rsidP="001F20D0">
      <w:pPr>
        <w:spacing w:after="120"/>
        <w:jc w:val="both"/>
        <w:rPr>
          <w:rFonts w:ascii="Calibri" w:hAnsi="Calibri" w:cs="Calibri"/>
          <w:iCs/>
        </w:rPr>
      </w:pPr>
      <w:r w:rsidRPr="00405142">
        <w:rPr>
          <w:rFonts w:ascii="Calibri" w:hAnsi="Calibri" w:cs="Calibri"/>
          <w:iCs/>
        </w:rPr>
        <w:t xml:space="preserve">PESEL: </w:t>
      </w:r>
      <w:r w:rsidR="00E413BD" w:rsidRPr="00405142">
        <w:rPr>
          <w:rFonts w:ascii="Calibri" w:hAnsi="Calibri" w:cs="Arial"/>
        </w:rPr>
        <w:t>……………………………………………………….</w:t>
      </w:r>
      <w:r w:rsidRPr="00405142">
        <w:rPr>
          <w:rFonts w:ascii="Calibri" w:hAnsi="Calibri" w:cs="Calibri"/>
          <w:iCs/>
        </w:rPr>
        <w:t xml:space="preserve">, dowód osobisty nr </w:t>
      </w:r>
      <w:r w:rsidR="00E413BD" w:rsidRPr="00405142">
        <w:rPr>
          <w:rFonts w:ascii="Calibri" w:hAnsi="Calibri" w:cs="Arial"/>
        </w:rPr>
        <w:t>……………………………………………………….</w:t>
      </w:r>
    </w:p>
    <w:p w14:paraId="7802142F" w14:textId="77777777" w:rsidR="00F51AD4" w:rsidRPr="00405142" w:rsidRDefault="00F51AD4" w:rsidP="00E14916">
      <w:pPr>
        <w:spacing w:after="120"/>
        <w:jc w:val="both"/>
        <w:rPr>
          <w:rFonts w:ascii="Calibri" w:hAnsi="Calibri" w:cs="Calibri"/>
          <w:iCs/>
        </w:rPr>
      </w:pPr>
    </w:p>
    <w:p w14:paraId="02CD43BE" w14:textId="77777777" w:rsidR="00746E34" w:rsidRDefault="001F20D0" w:rsidP="00F51AD4">
      <w:pPr>
        <w:spacing w:after="120"/>
        <w:jc w:val="both"/>
        <w:rPr>
          <w:rFonts w:ascii="Calibri" w:hAnsi="Calibri" w:cs="Arial"/>
        </w:rPr>
      </w:pPr>
      <w:r w:rsidRPr="00405142">
        <w:rPr>
          <w:rFonts w:ascii="Calibri" w:hAnsi="Calibri" w:cs="Arial"/>
        </w:rPr>
        <w:t>zwanymi dalej</w:t>
      </w:r>
      <w:r w:rsidR="00F51AD4" w:rsidRPr="00405142">
        <w:rPr>
          <w:rFonts w:ascii="Calibri" w:hAnsi="Calibri" w:cs="Arial"/>
        </w:rPr>
        <w:t xml:space="preserve"> </w:t>
      </w:r>
      <w:r w:rsidR="00AE587E" w:rsidRPr="00405142">
        <w:rPr>
          <w:rFonts w:ascii="Calibri" w:hAnsi="Calibri" w:cs="Arial"/>
        </w:rPr>
        <w:t xml:space="preserve">/zwaną dalej/zwanym dalej/ </w:t>
      </w:r>
      <w:r w:rsidR="00F51AD4" w:rsidRPr="00405142">
        <w:rPr>
          <w:rFonts w:ascii="Calibri" w:hAnsi="Calibri" w:cs="Arial"/>
        </w:rPr>
        <w:t>„Kredytobiorc</w:t>
      </w:r>
      <w:r w:rsidR="00AE587E" w:rsidRPr="00405142">
        <w:rPr>
          <w:rFonts w:ascii="Calibri" w:hAnsi="Calibri" w:cs="Arial"/>
        </w:rPr>
        <w:t>ą</w:t>
      </w:r>
      <w:r w:rsidR="00F51AD4" w:rsidRPr="00405142">
        <w:rPr>
          <w:rFonts w:ascii="Calibri" w:hAnsi="Calibri" w:cs="Arial"/>
        </w:rPr>
        <w:t>”</w:t>
      </w:r>
      <w:r w:rsidR="00746E34" w:rsidRPr="00405142">
        <w:rPr>
          <w:rFonts w:ascii="Calibri" w:hAnsi="Calibri" w:cs="Arial"/>
        </w:rPr>
        <w:t>,</w:t>
      </w:r>
    </w:p>
    <w:p w14:paraId="17AC7C75" w14:textId="77777777" w:rsidR="00F51AD4" w:rsidRPr="00D11740" w:rsidRDefault="00746E34" w:rsidP="00F51AD4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łącznie zwanymi „Stronami”</w:t>
      </w:r>
      <w:r w:rsidR="00AE587E">
        <w:rPr>
          <w:rFonts w:ascii="Calibri" w:hAnsi="Calibri" w:cs="Arial"/>
        </w:rPr>
        <w:t>.</w:t>
      </w:r>
    </w:p>
    <w:p w14:paraId="4F2F6355" w14:textId="77777777" w:rsidR="00375899" w:rsidRDefault="00375899" w:rsidP="00616ACB">
      <w:pPr>
        <w:numPr>
          <w:ilvl w:val="0"/>
          <w:numId w:val="27"/>
        </w:numPr>
        <w:spacing w:before="120" w:after="60"/>
        <w:jc w:val="center"/>
        <w:rPr>
          <w:rFonts w:ascii="Calibri" w:hAnsi="Calibri" w:cs="Arial"/>
          <w:b/>
        </w:rPr>
      </w:pPr>
    </w:p>
    <w:p w14:paraId="680281A7" w14:textId="77777777" w:rsidR="00746E34" w:rsidRDefault="00746E34" w:rsidP="00F74611">
      <w:pPr>
        <w:spacing w:before="120" w:after="60"/>
        <w:ind w:left="720" w:hanging="720"/>
        <w:rPr>
          <w:rFonts w:ascii="Calibri" w:hAnsi="Calibri" w:cs="Arial"/>
        </w:rPr>
      </w:pPr>
      <w:r w:rsidRPr="0017694D">
        <w:rPr>
          <w:rFonts w:ascii="Calibri" w:hAnsi="Calibri" w:cs="Arial"/>
        </w:rPr>
        <w:t>W Umowie</w:t>
      </w:r>
      <w:r w:rsidR="00005074">
        <w:rPr>
          <w:rFonts w:ascii="Calibri" w:hAnsi="Calibri" w:cs="Arial"/>
        </w:rPr>
        <w:t xml:space="preserve"> kredytu</w:t>
      </w:r>
      <w:r w:rsidRPr="0017694D">
        <w:rPr>
          <w:rFonts w:ascii="Calibri" w:hAnsi="Calibri" w:cs="Arial"/>
        </w:rPr>
        <w:t xml:space="preserve"> wprowadza się </w:t>
      </w:r>
      <w:r w:rsidR="00AD55D1">
        <w:rPr>
          <w:rFonts w:ascii="Calibri" w:hAnsi="Calibri" w:cs="Arial"/>
        </w:rPr>
        <w:t xml:space="preserve">kolejny paragraf w </w:t>
      </w:r>
      <w:r w:rsidRPr="0017694D">
        <w:rPr>
          <w:rFonts w:ascii="Calibri" w:hAnsi="Calibri" w:cs="Arial"/>
        </w:rPr>
        <w:t>następując</w:t>
      </w:r>
      <w:r w:rsidR="00AD55D1">
        <w:rPr>
          <w:rFonts w:ascii="Calibri" w:hAnsi="Calibri" w:cs="Arial"/>
        </w:rPr>
        <w:t>ym brzmieniu</w:t>
      </w:r>
      <w:r w:rsidRPr="0017694D">
        <w:rPr>
          <w:rFonts w:ascii="Calibri" w:hAnsi="Calibri" w:cs="Arial"/>
        </w:rPr>
        <w:t>:</w:t>
      </w:r>
    </w:p>
    <w:p w14:paraId="4334D256" w14:textId="77777777" w:rsidR="00AD55D1" w:rsidRPr="00AD55D1" w:rsidRDefault="00AD55D1" w:rsidP="009C2FCA">
      <w:pPr>
        <w:numPr>
          <w:ilvl w:val="0"/>
          <w:numId w:val="40"/>
        </w:numPr>
        <w:tabs>
          <w:tab w:val="clear" w:pos="360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hAnsi="Calibri" w:cs="Calibri"/>
        </w:rPr>
        <w:t>Na potrzeby Umowy</w:t>
      </w:r>
      <w:r w:rsidRPr="00AD55D1">
        <w:rPr>
          <w:rFonts w:ascii="Calibri" w:eastAsia="Calibri" w:hAnsi="Calibri" w:cs="Calibri"/>
          <w:color w:val="000000"/>
        </w:rPr>
        <w:t xml:space="preserve"> poniższe pojęcia otrzymują następujące znaczenie:</w:t>
      </w:r>
    </w:p>
    <w:p w14:paraId="5C7611F2" w14:textId="77777777" w:rsidR="00AD55D1" w:rsidRPr="00AD55D1" w:rsidRDefault="00AD55D1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b/>
          <w:bCs/>
          <w:color w:val="000000"/>
        </w:rPr>
        <w:t>Administrator</w:t>
      </w:r>
      <w:r w:rsidRPr="00AD55D1">
        <w:rPr>
          <w:rFonts w:ascii="Calibri" w:eastAsia="Calibri" w:hAnsi="Calibri" w:cs="Calibri"/>
          <w:color w:val="000000"/>
        </w:rPr>
        <w:t xml:space="preserve"> – osoba fizyczna lub prawna, niezależna od Banku, sprawująca kontrolę nad opracowywaniem Wskaźnika referencyjnego oraz, w szczególności, zarządzająca mechanizmami dotyczącymi wyznaczania Wskaźnika referencyjnego, gromadząca i analizująca dane wejściowe, wyznaczająca wskaźnik referencyjny i publikująca go;</w:t>
      </w:r>
    </w:p>
    <w:p w14:paraId="389B4F8D" w14:textId="77777777" w:rsidR="00AD55D1" w:rsidRPr="00AD55D1" w:rsidRDefault="00AD55D1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b/>
          <w:bCs/>
          <w:color w:val="000000"/>
        </w:rPr>
        <w:t xml:space="preserve">Istotna zmiana – </w:t>
      </w:r>
      <w:r w:rsidRPr="00AD55D1">
        <w:rPr>
          <w:rFonts w:ascii="Calibri" w:eastAsia="Calibri" w:hAnsi="Calibri" w:cs="Calibri"/>
          <w:color w:val="000000"/>
        </w:rPr>
        <w:t xml:space="preserve">zmiana sposobu wyznaczania Wskaźnika referencyjnego, którą Administrator uznał i zdefiniował jako istotną, zgodnie z art. 13 Rozporządzenia BMR lub zgodnie z definicją i informacjami publikowanymi </w:t>
      </w:r>
      <w:r w:rsidRPr="00AD55D1">
        <w:rPr>
          <w:rFonts w:ascii="Calibri" w:eastAsia="Calibri" w:hAnsi="Calibri" w:cs="Calibri"/>
          <w:color w:val="000000"/>
        </w:rPr>
        <w:br/>
        <w:t>przez Administratora w dokumentacji Wskaźnika referencyjnego,</w:t>
      </w:r>
    </w:p>
    <w:p w14:paraId="39479782" w14:textId="77777777" w:rsidR="00AD55D1" w:rsidRPr="00AD55D1" w:rsidRDefault="00AD55D1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b/>
          <w:bCs/>
          <w:color w:val="000000"/>
        </w:rPr>
        <w:t>Korekta</w:t>
      </w:r>
      <w:r w:rsidRPr="00AD55D1">
        <w:rPr>
          <w:rFonts w:ascii="Calibri" w:eastAsia="Calibri" w:hAnsi="Calibri" w:cs="Calibri"/>
          <w:color w:val="000000"/>
        </w:rPr>
        <w:t xml:space="preserve"> – formuła obliczenia wartości oprocentowania z zastosowaniem Wskaźnika alternatywnego niezbędna </w:t>
      </w:r>
      <w:r w:rsidRPr="00AD55D1">
        <w:rPr>
          <w:rFonts w:ascii="Calibri" w:eastAsia="Calibri" w:hAnsi="Calibri" w:cs="Calibri"/>
          <w:color w:val="000000"/>
        </w:rPr>
        <w:br/>
        <w:t>w celu skompensowania ekonomicznych skutków Istotnej zmiany Wskaźnika referencyjnego albo Zdarzenia regulacyjnego związanego z zastąpieniem dotychczasowego Wskaźnika referencyjnego przez Wskaźnik alternatywny,</w:t>
      </w:r>
    </w:p>
    <w:p w14:paraId="0A8C346A" w14:textId="77777777" w:rsidR="00AD55D1" w:rsidRPr="00AD55D1" w:rsidRDefault="00AD55D1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b/>
          <w:bCs/>
          <w:color w:val="000000"/>
        </w:rPr>
        <w:t xml:space="preserve">Podmiot wyznaczający </w:t>
      </w:r>
      <w:r w:rsidRPr="00AD55D1">
        <w:rPr>
          <w:rFonts w:ascii="Calibri" w:eastAsia="Calibri" w:hAnsi="Calibri" w:cs="Calibri"/>
          <w:color w:val="000000"/>
        </w:rPr>
        <w:t>– Komisja Europejska, organ nadzoru nad Administratorem, uprawniony organ administracji publicznej lub inny podmiot uprawniony zgodnie z obowiązującymi przepisami do wyznaczenia Wskaźnika alternatywnego oraz Korekty,</w:t>
      </w:r>
    </w:p>
    <w:p w14:paraId="3FC38659" w14:textId="77777777" w:rsidR="00AD55D1" w:rsidRPr="005E2AA8" w:rsidRDefault="00AD55D1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b/>
          <w:bCs/>
          <w:color w:val="000000"/>
        </w:rPr>
        <w:t>Rozporządzenie BMR</w:t>
      </w:r>
      <w:r w:rsidRPr="00AD55D1">
        <w:rPr>
          <w:rFonts w:ascii="Calibri" w:eastAsia="Calibri" w:hAnsi="Calibri" w:cs="Calibri"/>
          <w:color w:val="000000"/>
        </w:rPr>
        <w:t xml:space="preserve"> – Rozporządzenie Parlamentu Europejskiego i Rady (UE) 2016/1011 z dnia 8 czerwca </w:t>
      </w:r>
      <w:r w:rsidRPr="00AD55D1">
        <w:rPr>
          <w:rFonts w:ascii="Calibri" w:eastAsia="Calibri" w:hAnsi="Calibri" w:cs="Calibri"/>
          <w:color w:val="000000"/>
        </w:rPr>
        <w:br/>
        <w:t xml:space="preserve">2016 r. w sprawie indeksów stosowanych </w:t>
      </w:r>
      <w:r w:rsidRPr="005E2AA8">
        <w:rPr>
          <w:rFonts w:ascii="Calibri" w:eastAsia="Calibri" w:hAnsi="Calibri" w:cs="Calibri"/>
          <w:color w:val="000000"/>
        </w:rPr>
        <w:t>jako wskaźniki referencyjne w instrumentach finansowych i umowach finansowych lub do pomiaru wyników funduszy inwestycyjnych i zmieniające dyrektywy 2008/48/WE i 2014/17/UE oraz rozporządzenie (UE) nr 596/2014 z późniejszymi zmianami,</w:t>
      </w:r>
    </w:p>
    <w:p w14:paraId="4B05D4E1" w14:textId="3435B5B5" w:rsidR="00C71E82" w:rsidRPr="00E27F2C" w:rsidRDefault="00C71E82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bCs/>
          <w:color w:val="000000"/>
        </w:rPr>
      </w:pPr>
      <w:r w:rsidRPr="005E2AA8">
        <w:rPr>
          <w:rFonts w:ascii="Calibri" w:eastAsia="Calibri" w:hAnsi="Calibri" w:cs="Calibri"/>
          <w:b/>
          <w:bCs/>
          <w:color w:val="000000"/>
        </w:rPr>
        <w:t>WIBOR 3M (</w:t>
      </w:r>
      <w:r w:rsidRPr="005E2AA8">
        <w:rPr>
          <w:rFonts w:ascii="Calibri" w:eastAsia="Calibri" w:hAnsi="Calibri" w:cs="Calibri"/>
          <w:bCs/>
          <w:color w:val="000000"/>
        </w:rPr>
        <w:t xml:space="preserve">ang. </w:t>
      </w:r>
      <w:proofErr w:type="spellStart"/>
      <w:r w:rsidRPr="005E2AA8">
        <w:rPr>
          <w:rFonts w:ascii="Calibri" w:eastAsia="Calibri" w:hAnsi="Calibri" w:cs="Calibri"/>
          <w:bCs/>
          <w:color w:val="000000"/>
        </w:rPr>
        <w:t>Warsaw</w:t>
      </w:r>
      <w:proofErr w:type="spellEnd"/>
      <w:r w:rsidRPr="005E2AA8">
        <w:rPr>
          <w:rFonts w:ascii="Calibri" w:eastAsia="Calibri" w:hAnsi="Calibri" w:cs="Calibri"/>
          <w:bCs/>
          <w:color w:val="000000"/>
        </w:rPr>
        <w:t xml:space="preserve"> Interbank </w:t>
      </w:r>
      <w:proofErr w:type="spellStart"/>
      <w:r w:rsidRPr="005E2AA8">
        <w:rPr>
          <w:rFonts w:ascii="Calibri" w:eastAsia="Calibri" w:hAnsi="Calibri" w:cs="Calibri"/>
          <w:bCs/>
          <w:color w:val="000000"/>
        </w:rPr>
        <w:t>Offered</w:t>
      </w:r>
      <w:proofErr w:type="spellEnd"/>
      <w:r w:rsidRPr="005E2AA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5E2AA8">
        <w:rPr>
          <w:rFonts w:ascii="Calibri" w:eastAsia="Calibri" w:hAnsi="Calibri" w:cs="Calibri"/>
          <w:bCs/>
          <w:color w:val="000000"/>
        </w:rPr>
        <w:t>Rate</w:t>
      </w:r>
      <w:proofErr w:type="spellEnd"/>
      <w:r w:rsidRPr="005E2AA8">
        <w:rPr>
          <w:rFonts w:ascii="Calibri" w:eastAsia="Calibri" w:hAnsi="Calibri" w:cs="Calibri"/>
          <w:bCs/>
          <w:color w:val="000000"/>
        </w:rPr>
        <w:t>)</w:t>
      </w:r>
      <w:r w:rsidR="004A5CE7" w:rsidRPr="005E2AA8">
        <w:rPr>
          <w:rFonts w:ascii="Calibri" w:eastAsia="Calibri" w:hAnsi="Calibri" w:cs="Calibri"/>
          <w:bCs/>
          <w:color w:val="000000"/>
        </w:rPr>
        <w:t xml:space="preserve"> –</w:t>
      </w:r>
      <w:r w:rsidR="00A35F38">
        <w:rPr>
          <w:rFonts w:ascii="Calibri" w:eastAsia="Calibri" w:hAnsi="Calibri" w:cs="Calibri"/>
          <w:bCs/>
          <w:color w:val="000000"/>
        </w:rPr>
        <w:t xml:space="preserve"> </w:t>
      </w:r>
      <w:r w:rsidRPr="005E2AA8">
        <w:rPr>
          <w:rFonts w:ascii="Calibri" w:eastAsia="Calibri" w:hAnsi="Calibri" w:cs="Calibri"/>
          <w:bCs/>
          <w:color w:val="000000"/>
        </w:rPr>
        <w:t xml:space="preserve">stawka </w:t>
      </w:r>
      <w:r w:rsidR="004A5CE7" w:rsidRPr="005E2AA8">
        <w:rPr>
          <w:rFonts w:ascii="Calibri" w:eastAsia="Calibri" w:hAnsi="Calibri" w:cs="Calibri"/>
          <w:bCs/>
          <w:color w:val="000000"/>
        </w:rPr>
        <w:t xml:space="preserve">o kodzie ISIN PL9999999748, </w:t>
      </w:r>
      <w:r w:rsidRPr="005E2AA8">
        <w:rPr>
          <w:rFonts w:ascii="Calibri" w:eastAsia="Calibri" w:hAnsi="Calibri" w:cs="Calibri"/>
          <w:bCs/>
          <w:color w:val="000000"/>
        </w:rPr>
        <w:t xml:space="preserve">będąca Wskaźnikiem referencyjnym, który </w:t>
      </w:r>
      <w:r w:rsidR="00836B8F" w:rsidRPr="005E2AA8">
        <w:rPr>
          <w:rFonts w:ascii="Calibri" w:eastAsia="Calibri" w:hAnsi="Calibri" w:cs="Calibri"/>
          <w:bCs/>
          <w:color w:val="000000"/>
        </w:rPr>
        <w:t>stosuje się</w:t>
      </w:r>
      <w:r w:rsidR="00EB3DEA" w:rsidRPr="005E2AA8">
        <w:rPr>
          <w:rFonts w:ascii="Calibri" w:eastAsia="Calibri" w:hAnsi="Calibri" w:cs="Calibri"/>
          <w:bCs/>
          <w:color w:val="000000"/>
        </w:rPr>
        <w:t xml:space="preserve"> zgodnie z zasadami określonymi w Umowie kredytu</w:t>
      </w:r>
      <w:r w:rsidR="004A5CE7" w:rsidRPr="005E2AA8">
        <w:rPr>
          <w:rFonts w:ascii="Calibri" w:eastAsia="Calibri" w:hAnsi="Calibri" w:cs="Calibri"/>
          <w:bCs/>
          <w:color w:val="000000"/>
        </w:rPr>
        <w:t>;</w:t>
      </w:r>
      <w:r w:rsidRPr="005E2AA8">
        <w:rPr>
          <w:rFonts w:ascii="Calibri" w:eastAsia="Calibri" w:hAnsi="Calibri" w:cs="Calibri"/>
          <w:bCs/>
          <w:color w:val="000000"/>
        </w:rPr>
        <w:t xml:space="preserve"> </w:t>
      </w:r>
      <w:r w:rsidR="004A5CE7" w:rsidRPr="005E2AA8">
        <w:rPr>
          <w:rFonts w:ascii="Calibri" w:eastAsia="Calibri" w:hAnsi="Calibri" w:cs="Calibri"/>
          <w:bCs/>
          <w:color w:val="000000"/>
        </w:rPr>
        <w:t>n</w:t>
      </w:r>
      <w:r w:rsidRPr="005E2AA8">
        <w:rPr>
          <w:rFonts w:ascii="Calibri" w:eastAsia="Calibri" w:hAnsi="Calibri" w:cs="Calibri"/>
          <w:bCs/>
          <w:color w:val="000000"/>
        </w:rPr>
        <w:t>a dzień zawarcia</w:t>
      </w:r>
      <w:r w:rsidR="00E27F2C" w:rsidRPr="005E2AA8">
        <w:rPr>
          <w:rFonts w:ascii="Calibri" w:eastAsia="Calibri" w:hAnsi="Calibri" w:cs="Calibri"/>
          <w:bCs/>
          <w:color w:val="000000"/>
        </w:rPr>
        <w:t xml:space="preserve"> </w:t>
      </w:r>
      <w:r w:rsidR="00EB3DEA" w:rsidRPr="005E2AA8">
        <w:rPr>
          <w:rFonts w:ascii="Calibri" w:eastAsia="Calibri" w:hAnsi="Calibri" w:cs="Calibri"/>
          <w:bCs/>
          <w:color w:val="000000"/>
        </w:rPr>
        <w:t>niniejszego</w:t>
      </w:r>
      <w:r w:rsidRPr="005E2AA8">
        <w:rPr>
          <w:rFonts w:ascii="Calibri" w:eastAsia="Calibri" w:hAnsi="Calibri" w:cs="Calibri"/>
          <w:bCs/>
          <w:color w:val="000000"/>
        </w:rPr>
        <w:t xml:space="preserve"> Aneksu administratorem wskaźnika referencyjnego WIBOR 3M</w:t>
      </w:r>
      <w:r w:rsidR="004A5CE7" w:rsidRPr="005E2AA8">
        <w:rPr>
          <w:rFonts w:ascii="Calibri" w:eastAsia="Calibri" w:hAnsi="Calibri" w:cs="Calibri"/>
          <w:bCs/>
          <w:color w:val="000000"/>
        </w:rPr>
        <w:t>,</w:t>
      </w:r>
      <w:r w:rsidRPr="005E2AA8">
        <w:rPr>
          <w:rFonts w:ascii="Calibri" w:eastAsia="Calibri" w:hAnsi="Calibri" w:cs="Calibri"/>
          <w:bCs/>
          <w:color w:val="000000"/>
        </w:rPr>
        <w:t xml:space="preserve"> tj. podmiotem sprawującym kontrolę nad jego opracowywaniem</w:t>
      </w:r>
      <w:r w:rsidR="004A5CE7" w:rsidRPr="005E2AA8">
        <w:rPr>
          <w:rFonts w:ascii="Calibri" w:eastAsia="Calibri" w:hAnsi="Calibri" w:cs="Calibri"/>
          <w:bCs/>
          <w:color w:val="000000"/>
        </w:rPr>
        <w:t>,</w:t>
      </w:r>
      <w:r w:rsidRPr="005E2AA8">
        <w:rPr>
          <w:rFonts w:ascii="Calibri" w:eastAsia="Calibri" w:hAnsi="Calibri" w:cs="Calibri"/>
          <w:bCs/>
          <w:color w:val="000000"/>
        </w:rPr>
        <w:t xml:space="preserve"> jest GPW Benchmark S.A. z siedzibą w Warszawie</w:t>
      </w:r>
      <w:r w:rsidR="004A5CE7" w:rsidRPr="005E2AA8">
        <w:rPr>
          <w:rFonts w:ascii="Calibri" w:eastAsia="Calibri" w:hAnsi="Calibri" w:cs="Calibri"/>
          <w:bCs/>
          <w:color w:val="000000"/>
        </w:rPr>
        <w:t>;</w:t>
      </w:r>
      <w:r w:rsidRPr="005E2AA8">
        <w:rPr>
          <w:rFonts w:ascii="Calibri" w:eastAsia="Calibri" w:hAnsi="Calibri" w:cs="Calibri"/>
          <w:bCs/>
          <w:color w:val="000000"/>
        </w:rPr>
        <w:t xml:space="preserve"> </w:t>
      </w:r>
      <w:r w:rsidR="004A5CE7" w:rsidRPr="005E2AA8">
        <w:rPr>
          <w:rFonts w:ascii="Calibri" w:eastAsia="Calibri" w:hAnsi="Calibri" w:cs="Calibri"/>
          <w:bCs/>
          <w:color w:val="000000"/>
        </w:rPr>
        <w:t>s</w:t>
      </w:r>
      <w:r w:rsidRPr="005E2AA8">
        <w:rPr>
          <w:rFonts w:ascii="Calibri" w:eastAsia="Calibri" w:hAnsi="Calibri" w:cs="Calibri"/>
          <w:bCs/>
          <w:color w:val="000000"/>
        </w:rPr>
        <w:t xml:space="preserve">tawka WIBOR </w:t>
      </w:r>
      <w:r w:rsidR="004A5CE7" w:rsidRPr="005E2AA8">
        <w:rPr>
          <w:rFonts w:ascii="Calibri" w:eastAsia="Calibri" w:hAnsi="Calibri" w:cs="Calibri"/>
          <w:bCs/>
          <w:color w:val="000000"/>
        </w:rPr>
        <w:t xml:space="preserve">3M </w:t>
      </w:r>
      <w:r w:rsidRPr="005E2AA8">
        <w:rPr>
          <w:rFonts w:ascii="Calibri" w:eastAsia="Calibri" w:hAnsi="Calibri" w:cs="Calibri"/>
          <w:bCs/>
          <w:color w:val="000000"/>
        </w:rPr>
        <w:t xml:space="preserve">publikowana jest m.in. na stronie </w:t>
      </w:r>
      <w:r w:rsidRPr="005E2AA8">
        <w:rPr>
          <w:rFonts w:ascii="Calibri" w:eastAsia="Calibri" w:hAnsi="Calibri" w:cs="Calibri"/>
          <w:bCs/>
          <w:color w:val="000000"/>
        </w:rPr>
        <w:lastRenderedPageBreak/>
        <w:t>https://gpwbenchmark.pl/</w:t>
      </w:r>
      <w:r w:rsidR="004A5CE7" w:rsidRPr="005E2AA8">
        <w:rPr>
          <w:rFonts w:ascii="Calibri" w:eastAsia="Calibri" w:hAnsi="Calibri" w:cs="Calibri"/>
          <w:bCs/>
          <w:color w:val="000000"/>
        </w:rPr>
        <w:t>;</w:t>
      </w:r>
      <w:r w:rsidRPr="005E2AA8">
        <w:rPr>
          <w:rFonts w:ascii="Calibri" w:eastAsia="Calibri" w:hAnsi="Calibri" w:cs="Calibri"/>
          <w:bCs/>
          <w:color w:val="000000"/>
        </w:rPr>
        <w:t xml:space="preserve"> </w:t>
      </w:r>
      <w:r w:rsidR="004A5CE7" w:rsidRPr="005E2AA8">
        <w:rPr>
          <w:rFonts w:ascii="Calibri" w:eastAsia="Calibri" w:hAnsi="Calibri" w:cs="Calibri"/>
          <w:bCs/>
          <w:color w:val="000000"/>
        </w:rPr>
        <w:t>w</w:t>
      </w:r>
      <w:r w:rsidRPr="005E2AA8">
        <w:rPr>
          <w:rFonts w:ascii="Calibri" w:eastAsia="Calibri" w:hAnsi="Calibri" w:cs="Calibri"/>
          <w:bCs/>
          <w:color w:val="000000"/>
        </w:rPr>
        <w:t xml:space="preserve"> przypadku wystąpienia Istotnej zmiany Wskaźnika referencyjnego lub zaprzestania opracowywania Wskaźnika referencyjnego, przy ustalaniu oprocentowania w miejsce dotychczasowego wskaźnika zastosowanie będzie miał wskaźnik ustalony zgodnie z zasadami </w:t>
      </w:r>
      <w:r w:rsidR="004A5CE7" w:rsidRPr="005E2AA8">
        <w:rPr>
          <w:rFonts w:ascii="Calibri" w:eastAsia="Calibri" w:hAnsi="Calibri" w:cs="Calibri"/>
          <w:bCs/>
          <w:color w:val="000000"/>
        </w:rPr>
        <w:t>zdefiniowanymi</w:t>
      </w:r>
      <w:r w:rsidRPr="005E2AA8">
        <w:rPr>
          <w:rFonts w:ascii="Calibri" w:eastAsia="Calibri" w:hAnsi="Calibri" w:cs="Calibri"/>
          <w:bCs/>
          <w:color w:val="000000"/>
        </w:rPr>
        <w:t xml:space="preserve"> w niniejszym paragrafie .</w:t>
      </w:r>
    </w:p>
    <w:p w14:paraId="39C49FB1" w14:textId="77777777" w:rsidR="00AD55D1" w:rsidRPr="00AD55D1" w:rsidRDefault="00AD55D1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b/>
          <w:bCs/>
          <w:color w:val="000000"/>
        </w:rPr>
        <w:t>Wskaźnik alternatywny</w:t>
      </w:r>
      <w:r w:rsidRPr="00AD55D1">
        <w:rPr>
          <w:rFonts w:ascii="Calibri" w:eastAsia="Calibri" w:hAnsi="Calibri" w:cs="Calibri"/>
          <w:color w:val="000000"/>
        </w:rPr>
        <w:t xml:space="preserve"> – wskaźnik referencyjny zastępujący dotychczasowy Wskaźnik referencyjny, dla którego wystąpiło Zdarzenie regulacyjne;</w:t>
      </w:r>
    </w:p>
    <w:p w14:paraId="472F2EFA" w14:textId="77777777" w:rsidR="00AD55D1" w:rsidRPr="00AD55D1" w:rsidRDefault="00AD55D1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b/>
          <w:bCs/>
          <w:color w:val="000000"/>
        </w:rPr>
        <w:t xml:space="preserve">Wskaźnik referencyjny </w:t>
      </w:r>
      <w:r w:rsidRPr="00AD55D1">
        <w:rPr>
          <w:rFonts w:ascii="Calibri" w:eastAsia="Calibri" w:hAnsi="Calibri" w:cs="Calibri"/>
          <w:color w:val="000000"/>
        </w:rPr>
        <w:t>– wskaźnik referencyjny w rozumieniu Rozporządzenia BMR</w:t>
      </w:r>
      <w:r w:rsidR="004A5CE7">
        <w:rPr>
          <w:rFonts w:ascii="Calibri" w:eastAsia="Calibri" w:hAnsi="Calibri" w:cs="Calibri"/>
          <w:color w:val="000000"/>
        </w:rPr>
        <w:t>,</w:t>
      </w:r>
      <w:r w:rsidRPr="00AD55D1">
        <w:rPr>
          <w:rFonts w:ascii="Calibri" w:eastAsia="Calibri" w:hAnsi="Calibri" w:cs="Calibri"/>
          <w:color w:val="000000"/>
        </w:rPr>
        <w:t xml:space="preserve"> będący indeksem stanowiącym odniesienie do określenia kwoty przypadającej do zapłaty z tytułu kredytu</w:t>
      </w:r>
      <w:r w:rsidR="004A5CE7">
        <w:rPr>
          <w:rFonts w:ascii="Calibri" w:eastAsia="Calibri" w:hAnsi="Calibri" w:cs="Calibri"/>
          <w:color w:val="000000"/>
        </w:rPr>
        <w:t>;</w:t>
      </w:r>
    </w:p>
    <w:p w14:paraId="782A1950" w14:textId="77777777" w:rsidR="00E1551F" w:rsidRDefault="00AD55D1" w:rsidP="005E2A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b/>
          <w:bCs/>
          <w:color w:val="000000"/>
        </w:rPr>
        <w:t>Zdarzenie regulacyjne</w:t>
      </w:r>
      <w:r w:rsidRPr="00AD55D1">
        <w:rPr>
          <w:rFonts w:ascii="Calibri" w:eastAsia="Calibri" w:hAnsi="Calibri" w:cs="Calibri"/>
          <w:color w:val="000000"/>
        </w:rPr>
        <w:t xml:space="preserve"> – wystąpienie jednego lub kilku z następujących zdarzeń (niezależnych od Banku) </w:t>
      </w:r>
      <w:r w:rsidRPr="00AD55D1">
        <w:rPr>
          <w:rFonts w:ascii="Calibri" w:eastAsia="Calibri" w:hAnsi="Calibri" w:cs="Calibri"/>
          <w:color w:val="000000"/>
        </w:rPr>
        <w:br/>
        <w:t>w stosunku do Wskaźnika referencyjnego:</w:t>
      </w:r>
    </w:p>
    <w:p w14:paraId="021A12DE" w14:textId="77777777" w:rsidR="00E1551F" w:rsidRDefault="00AD55D1" w:rsidP="005E2AA8">
      <w:pPr>
        <w:numPr>
          <w:ilvl w:val="0"/>
          <w:numId w:val="41"/>
        </w:numPr>
        <w:tabs>
          <w:tab w:val="left" w:pos="-720"/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wydanie przez Administratora oświadczenia o trwałym zaprzestaniu opracowywania lub publikowania Wskaźnika referencyjnego, o ile nie został wyznaczony następca tego Administratora, który będzie opracowywał i publikował ten Wskaźnik referencyjny lub</w:t>
      </w:r>
    </w:p>
    <w:p w14:paraId="3D528B6A" w14:textId="77777777" w:rsidR="00E1551F" w:rsidRDefault="00AD55D1" w:rsidP="005E2AA8">
      <w:pPr>
        <w:numPr>
          <w:ilvl w:val="0"/>
          <w:numId w:val="41"/>
        </w:numPr>
        <w:tabs>
          <w:tab w:val="left" w:pos="-720"/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stwierdzenie przez właściwy organ nadzoru, że Administrator lub Wskaźnik referencyjny przez niego opracowywany nie spełnia lub przestał spełniać wymogi wynikające z mających zastosowanie przepisów prawa, w tym z Rozporządzenia BMR lub</w:t>
      </w:r>
    </w:p>
    <w:p w14:paraId="22BB4744" w14:textId="77777777" w:rsidR="00AD55D1" w:rsidRPr="00AD55D1" w:rsidRDefault="00AD55D1" w:rsidP="005E2AA8">
      <w:pPr>
        <w:numPr>
          <w:ilvl w:val="0"/>
          <w:numId w:val="41"/>
        </w:numPr>
        <w:tabs>
          <w:tab w:val="left" w:pos="-720"/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niedostępność aktualnej wartości Wskaźnika referencyjnego w źródle informacji o Wskaźniku referencyjnym wskazanym przez Administratora przez okres dłuższy niż 30 dni.</w:t>
      </w:r>
    </w:p>
    <w:p w14:paraId="05A9B973" w14:textId="77777777" w:rsidR="00AD55D1" w:rsidRPr="00AD55D1" w:rsidRDefault="00AD55D1" w:rsidP="00A35F38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 xml:space="preserve">W przypadku ogłoszenia przez Administratora Istotnej zmiany Wskaźnika referencyjnego, który jest stosowany </w:t>
      </w:r>
      <w:r w:rsidRPr="00AD55D1">
        <w:rPr>
          <w:rFonts w:ascii="Calibri" w:eastAsia="Calibri" w:hAnsi="Calibri" w:cs="Calibri"/>
          <w:color w:val="000000"/>
        </w:rPr>
        <w:br/>
        <w:t>w Umowie, Bank stosuje od dnia obowiązywania Istotnej zmiany Wskaźnik referencyjny po Istotnej zmianie skorygowany o:</w:t>
      </w:r>
    </w:p>
    <w:p w14:paraId="5B3C17AA" w14:textId="77777777" w:rsidR="00AD55D1" w:rsidRPr="00AD55D1" w:rsidRDefault="00AD55D1" w:rsidP="00A35F38">
      <w:pPr>
        <w:numPr>
          <w:ilvl w:val="0"/>
          <w:numId w:val="45"/>
        </w:num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Korektę podaną przez Administratora, a jeżeli Administrator nie podał Korekty</w:t>
      </w:r>
    </w:p>
    <w:p w14:paraId="2B64B903" w14:textId="30FA42B0" w:rsidR="00AD55D1" w:rsidRPr="00AD55D1" w:rsidRDefault="00AD55D1" w:rsidP="00A35F38">
      <w:pPr>
        <w:numPr>
          <w:ilvl w:val="0"/>
          <w:numId w:val="45"/>
        </w:num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Korektę wyliczoną jako średnia arytmetyczna z różnic pomiędzy wartościami Wskaźnika referencyjnego przed</w:t>
      </w:r>
      <w:r w:rsidR="00E1551F">
        <w:rPr>
          <w:rFonts w:ascii="Calibri" w:eastAsia="Calibri" w:hAnsi="Calibri" w:cs="Calibri"/>
          <w:color w:val="000000"/>
        </w:rPr>
        <w:t xml:space="preserve"> </w:t>
      </w:r>
      <w:r w:rsidRPr="00AD55D1">
        <w:rPr>
          <w:rFonts w:ascii="Calibri" w:eastAsia="Calibri" w:hAnsi="Calibri" w:cs="Calibri"/>
          <w:color w:val="000000"/>
        </w:rPr>
        <w:t>Istotną zmianą a wartościami Wskaźnika referencyjnego po Istotnej zmianie z tych samych dni publikacji, za okres 12 miesięcy przed datą ogłoszenia Istotnej zmiany Wskaźnika referencyjnego.</w:t>
      </w:r>
    </w:p>
    <w:p w14:paraId="521A8347" w14:textId="77777777" w:rsidR="00AD55D1" w:rsidRPr="00AD55D1" w:rsidRDefault="00AD55D1" w:rsidP="00A35F38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W przypadku zaprzestania opracowywania Wskaźnika referencyjnego wskutek zaistnienia Zdarzenia regulacyjnego:</w:t>
      </w:r>
    </w:p>
    <w:p w14:paraId="5E2B16CE" w14:textId="77777777" w:rsidR="00AD55D1" w:rsidRPr="00AD55D1" w:rsidRDefault="00AD55D1" w:rsidP="00201F8F">
      <w:pPr>
        <w:numPr>
          <w:ilvl w:val="0"/>
          <w:numId w:val="42"/>
        </w:numPr>
        <w:tabs>
          <w:tab w:val="left" w:pos="-720"/>
          <w:tab w:val="left" w:pos="0"/>
          <w:tab w:val="left" w:pos="567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Bank stosuje Wskaźnik alternatywny określony w umowie, a w przypadku jego braku, Wskaźnik alternatywny wskazany w przepisach prawa powszechnie obowiązującego albo wskazany przez Podmiot wyznaczający, wraz z Korektą ustaloną umową, przepisami prawa albo podaną przez Podmiot wyznaczający,</w:t>
      </w:r>
    </w:p>
    <w:p w14:paraId="3616B8C6" w14:textId="77777777" w:rsidR="00AD55D1" w:rsidRPr="00AD55D1" w:rsidRDefault="00AD55D1" w:rsidP="00201F8F">
      <w:pPr>
        <w:numPr>
          <w:ilvl w:val="0"/>
          <w:numId w:val="42"/>
        </w:numPr>
        <w:tabs>
          <w:tab w:val="left" w:pos="-720"/>
          <w:tab w:val="left" w:pos="0"/>
          <w:tab w:val="left" w:pos="567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w przypadku gdy Wskaźnik alternatywny nie zostanie wyznaczony zgodnie z pkt 1), Bank stosuje Wskaźnik alternatywny, wraz z Korektą podaną przez Administratora Wskaźnika alternatywnego, spełniający łącznie następujące warunki:</w:t>
      </w:r>
    </w:p>
    <w:p w14:paraId="20BB58E7" w14:textId="77777777" w:rsidR="00AD55D1" w:rsidRPr="00AD55D1" w:rsidRDefault="00AD55D1" w:rsidP="00201F8F">
      <w:pPr>
        <w:tabs>
          <w:tab w:val="left" w:pos="-720"/>
          <w:tab w:val="left" w:pos="0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851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-</w:t>
      </w:r>
      <w:r w:rsidRPr="00AD55D1">
        <w:rPr>
          <w:rFonts w:ascii="Calibri" w:eastAsia="Calibri" w:hAnsi="Calibri" w:cs="Calibri"/>
          <w:color w:val="000000"/>
        </w:rPr>
        <w:tab/>
        <w:t xml:space="preserve">Administrator Wskaźnika alternatywnego posiada odpowiednie zezwolenia właściwego organu nadzoru, </w:t>
      </w:r>
      <w:r w:rsidRPr="00AD55D1">
        <w:rPr>
          <w:rFonts w:ascii="Calibri" w:eastAsia="Calibri" w:hAnsi="Calibri" w:cs="Calibri"/>
          <w:color w:val="000000"/>
        </w:rPr>
        <w:br/>
        <w:t xml:space="preserve">a także jest wskazany przez </w:t>
      </w:r>
      <w:proofErr w:type="spellStart"/>
      <w:r w:rsidRPr="00AD55D1">
        <w:rPr>
          <w:rFonts w:ascii="Calibri" w:eastAsia="Calibri" w:hAnsi="Calibri" w:cs="Calibri"/>
          <w:color w:val="000000"/>
        </w:rPr>
        <w:t>European</w:t>
      </w:r>
      <w:proofErr w:type="spellEnd"/>
      <w:r w:rsidRPr="00AD55D1">
        <w:rPr>
          <w:rFonts w:ascii="Calibri" w:eastAsia="Calibri" w:hAnsi="Calibri" w:cs="Calibri"/>
          <w:color w:val="000000"/>
        </w:rPr>
        <w:t xml:space="preserve"> Securities and </w:t>
      </w:r>
      <w:proofErr w:type="spellStart"/>
      <w:r w:rsidRPr="00AD55D1">
        <w:rPr>
          <w:rFonts w:ascii="Calibri" w:eastAsia="Calibri" w:hAnsi="Calibri" w:cs="Calibri"/>
          <w:color w:val="000000"/>
        </w:rPr>
        <w:t>Markets</w:t>
      </w:r>
      <w:proofErr w:type="spellEnd"/>
      <w:r w:rsidRPr="00AD55D1">
        <w:rPr>
          <w:rFonts w:ascii="Calibri" w:eastAsia="Calibri" w:hAnsi="Calibri" w:cs="Calibri"/>
          <w:color w:val="000000"/>
        </w:rPr>
        <w:t xml:space="preserve"> Authority w rejestrze administratorów wskaźników referencyjnych,</w:t>
      </w:r>
    </w:p>
    <w:p w14:paraId="4E4E48A5" w14:textId="77777777" w:rsidR="00AD55D1" w:rsidRPr="00AD55D1" w:rsidRDefault="00AD55D1" w:rsidP="00201F8F">
      <w:pPr>
        <w:tabs>
          <w:tab w:val="left" w:pos="-720"/>
          <w:tab w:val="left" w:pos="0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851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-</w:t>
      </w:r>
      <w:r w:rsidRPr="00AD55D1">
        <w:rPr>
          <w:rFonts w:ascii="Calibri" w:eastAsia="Calibri" w:hAnsi="Calibri" w:cs="Calibri"/>
          <w:color w:val="000000"/>
        </w:rPr>
        <w:tab/>
        <w:t>Wskaźnik alternatywny jest wskaźnikiem stopy procentowej dla waluty zastępowanego Wskaźnika referencyjnego,</w:t>
      </w:r>
    </w:p>
    <w:p w14:paraId="2C45BAA8" w14:textId="77777777" w:rsidR="00AD55D1" w:rsidRPr="00AD55D1" w:rsidRDefault="00AD55D1" w:rsidP="00201F8F">
      <w:pPr>
        <w:tabs>
          <w:tab w:val="left" w:pos="-720"/>
          <w:tab w:val="left" w:pos="0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851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-</w:t>
      </w:r>
      <w:r w:rsidRPr="00AD55D1">
        <w:rPr>
          <w:rFonts w:ascii="Calibri" w:eastAsia="Calibri" w:hAnsi="Calibri" w:cs="Calibri"/>
          <w:color w:val="000000"/>
        </w:rPr>
        <w:tab/>
        <w:t>Wskaźnik alternatywny odzwierciedla równoważny rynek lub jego realia gospodarcze, co zastępowany Wskaźnik referencyjny,</w:t>
      </w:r>
    </w:p>
    <w:p w14:paraId="0A169B46" w14:textId="77777777" w:rsidR="00AD55D1" w:rsidRPr="00AD55D1" w:rsidRDefault="00AD55D1" w:rsidP="00201F8F">
      <w:pPr>
        <w:tabs>
          <w:tab w:val="left" w:pos="-720"/>
          <w:tab w:val="left" w:pos="0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851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-</w:t>
      </w:r>
      <w:r w:rsidRPr="00AD55D1">
        <w:rPr>
          <w:rFonts w:ascii="Calibri" w:eastAsia="Calibri" w:hAnsi="Calibri" w:cs="Calibri"/>
          <w:color w:val="000000"/>
        </w:rPr>
        <w:tab/>
        <w:t>Wskaźnik alternatywny cechuje powszechność stosowania w Polsce.</w:t>
      </w:r>
    </w:p>
    <w:p w14:paraId="204F708C" w14:textId="77777777" w:rsidR="00AD55D1" w:rsidRPr="00AD55D1" w:rsidRDefault="00AD55D1" w:rsidP="00366A54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W przypadku, gdy umowa, przepisy prawa, Podmiot wyznaczający lub Administrator Wskaźnika Alternatywnego nie poda Korekty Wskaźnika alternatywnego, Bank skoryguje Wskaźnik alternatywny Korektą wyliczoną jako średnia arytmetyczna z różnic pomiędzy wartościami dotychczasowego Wskaźnika referencyjnego, a wartością Wskaźnika alternatywnego z tych samych dni publikacji, za okres 182 dni przed datą zaprzestania opracowywania Wskaźnika referencyjnego.</w:t>
      </w:r>
    </w:p>
    <w:p w14:paraId="229D7378" w14:textId="77777777" w:rsidR="00AD55D1" w:rsidRPr="00AD55D1" w:rsidRDefault="00AD55D1" w:rsidP="00366A54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W sytuacji braku możliwości wyznaczenia Wskaźnika alternatywnego na podstawie postanowień poprzedzających, Bank stosuje do ustalania oprocentowania, jako Wskaźnik alternatywny, podstawową stopę procentową banku centralnego właściwego dla waluty kredytu wraz z Korektą wyliczoną jako średnia arytmetyczna z różnic pomiędzy wartościami Wskaźnika referencyjnego a wartością stopy procentowej banku centralnego z tych samych dni publikacji, za okres 12 miesięcy przed datą zaprzestania opracowywania Wskaźnika referencyjnego.</w:t>
      </w:r>
    </w:p>
    <w:p w14:paraId="0D637673" w14:textId="77777777" w:rsidR="00AD55D1" w:rsidRPr="00AD55D1" w:rsidRDefault="00AD55D1" w:rsidP="00366A54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 xml:space="preserve">W przypadku, gdy na podstawie postanowień poprzedzających, Bank wylicza Korektę, a dane niezbędne </w:t>
      </w:r>
      <w:r w:rsidRPr="00AD55D1">
        <w:rPr>
          <w:rFonts w:ascii="Calibri" w:eastAsia="Calibri" w:hAnsi="Calibri" w:cs="Calibri"/>
          <w:color w:val="000000"/>
        </w:rPr>
        <w:br/>
        <w:t>do wyliczenia Korekty nie są dostępne za cały okres, za który ma zostać wyliczona Korekta, Bank wylicza Korektę uwzględniając cały okres dostępności danych.</w:t>
      </w:r>
    </w:p>
    <w:p w14:paraId="3BC3C191" w14:textId="77777777" w:rsidR="00AD55D1" w:rsidRPr="00AD55D1" w:rsidRDefault="00AD55D1" w:rsidP="00366A54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Wskaźnik alternatywny określony w związku z wystąpieniem Zdarzenia regulacyjnego zostanie zastosowany przez Bank nie później niż 30 dnia roboczego liczonego od dnia zaprzestania opracowania dotychczasowego Wskaźnika referencyjnego, a do tego czasu Bank będzie stosował ostatnio opublikowaną wartość dotychczasowego Wskaźnika referencyjnego. W przypadku wznowienia publikacji dotychczasowego Wskaźnika referencyjnego przed dniem zastosowania przez Bank Wskaźnika alternatywnego, Bank będzie ustalał oprocentowanie zgodnie z dotychczasowym Wskaźnikiem referencyjnym.</w:t>
      </w:r>
    </w:p>
    <w:p w14:paraId="5FE59C75" w14:textId="77777777" w:rsidR="00AD55D1" w:rsidRPr="00AD55D1" w:rsidRDefault="00AD55D1" w:rsidP="00366A54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Bank niezwłocznie przekazuje Kredytobiorcy informację o Istotnej zmianie Wskaźnika referencyjnego lub zastosowaniu Wskaźnika alternatywnego wraz z uzasadnieniem wyboru danego Wskaźnika alternatywnego oraz opisem sposobu obliczenia Korekty.</w:t>
      </w:r>
    </w:p>
    <w:p w14:paraId="06B02AF8" w14:textId="77777777" w:rsidR="00AD55D1" w:rsidRPr="00AD55D1" w:rsidRDefault="00AD55D1" w:rsidP="00366A54">
      <w:pPr>
        <w:numPr>
          <w:ilvl w:val="0"/>
          <w:numId w:val="40"/>
        </w:numPr>
        <w:tabs>
          <w:tab w:val="clear" w:pos="360"/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W przypadku zmiany Wskaźnika referencyjnego w związku z wystąpieniem Zdarzenia regulacyjnego, Kredytobiorca jest uprawniony, w ciągu 14 dni od dnia otrzymania od Banku informacji o zastosowaniu Wskaźnika alternatywnego, do rozwiązania umowy z zachowaniem 30-dniowego okresu wypowiedzenia. W takim wypadku, Klient nie ponosi opłaty związanej z wcześniejszą spłatą zadłużenia.</w:t>
      </w:r>
    </w:p>
    <w:p w14:paraId="2F6D263D" w14:textId="77777777" w:rsidR="00AD55D1" w:rsidRPr="00AD55D1" w:rsidRDefault="00AD55D1" w:rsidP="00AD55D1">
      <w:pPr>
        <w:numPr>
          <w:ilvl w:val="0"/>
          <w:numId w:val="40"/>
        </w:numPr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lastRenderedPageBreak/>
        <w:t>Powyższe postanowienia dotyczące Istotnej zmiany Wskaźnika referencyjnego oraz zaprzestania publikacji Wskaźnika referencyjnego mają zastosowanie do każdego kolejnego przypadku Istotnej zmiany Wskaźnika alternatywnego oraz zaprzestania publikacji Wskaźnika alternatywnego.</w:t>
      </w:r>
    </w:p>
    <w:p w14:paraId="0960CA34" w14:textId="77777777" w:rsidR="00AD55D1" w:rsidRPr="00AD55D1" w:rsidRDefault="00AD55D1" w:rsidP="00AD55D1">
      <w:pPr>
        <w:numPr>
          <w:ilvl w:val="0"/>
          <w:numId w:val="40"/>
        </w:numPr>
        <w:jc w:val="both"/>
        <w:rPr>
          <w:rFonts w:ascii="Calibri" w:eastAsia="Calibri" w:hAnsi="Calibri" w:cs="Calibri"/>
          <w:color w:val="000000"/>
        </w:rPr>
      </w:pPr>
      <w:r w:rsidRPr="00AD55D1">
        <w:rPr>
          <w:rFonts w:ascii="Calibri" w:eastAsia="Calibri" w:hAnsi="Calibri" w:cs="Calibri"/>
          <w:color w:val="000000"/>
        </w:rPr>
        <w:t>Istotna zmiana Wskaźnika referencyjnego bądź zmiana Wskaźnika referencyjnego na Wskaźnik alternatywny w związku z wystąpieniem Zdarzenia regulacyjnego, nie stanowią zmiany umowy i nie wymagają zawarcia aneksu do umowy.</w:t>
      </w:r>
    </w:p>
    <w:p w14:paraId="6139F0C6" w14:textId="77777777" w:rsidR="00375899" w:rsidRPr="00D11740" w:rsidRDefault="00375899" w:rsidP="00616ACB">
      <w:pPr>
        <w:numPr>
          <w:ilvl w:val="0"/>
          <w:numId w:val="27"/>
        </w:numPr>
        <w:spacing w:before="120" w:after="60"/>
        <w:jc w:val="center"/>
        <w:rPr>
          <w:rFonts w:ascii="Calibri" w:hAnsi="Calibri" w:cs="Arial"/>
          <w:b/>
        </w:rPr>
      </w:pPr>
    </w:p>
    <w:p w14:paraId="06D6CB80" w14:textId="77777777" w:rsidR="00375899" w:rsidRDefault="00375899" w:rsidP="0024048C">
      <w:pPr>
        <w:numPr>
          <w:ilvl w:val="0"/>
          <w:numId w:val="38"/>
        </w:numPr>
        <w:ind w:left="284" w:hanging="284"/>
        <w:jc w:val="both"/>
        <w:rPr>
          <w:rFonts w:ascii="Calibri" w:hAnsi="Calibri" w:cs="Arial"/>
        </w:rPr>
      </w:pPr>
      <w:r w:rsidRPr="00D11740">
        <w:rPr>
          <w:rFonts w:ascii="Calibri" w:hAnsi="Calibri" w:cs="Arial"/>
        </w:rPr>
        <w:t>Pozostałe warunki Umowy kredytu pozostają bez zmian.</w:t>
      </w:r>
    </w:p>
    <w:p w14:paraId="7949B2BB" w14:textId="77777777" w:rsidR="008E3EE2" w:rsidRDefault="0090175E" w:rsidP="0024048C">
      <w:pPr>
        <w:numPr>
          <w:ilvl w:val="0"/>
          <w:numId w:val="38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Aneks obowiązuje od dn</w:t>
      </w:r>
      <w:r w:rsidR="00675487">
        <w:rPr>
          <w:rFonts w:ascii="Calibri" w:hAnsi="Calibri" w:cs="Arial"/>
        </w:rPr>
        <w:t>ia podpisania.</w:t>
      </w:r>
      <w:r w:rsidR="00E6619A">
        <w:rPr>
          <w:rFonts w:ascii="Calibri" w:hAnsi="Calibri" w:cs="Arial"/>
        </w:rPr>
        <w:t xml:space="preserve"> </w:t>
      </w:r>
    </w:p>
    <w:p w14:paraId="1B5AA9D8" w14:textId="77777777" w:rsidR="00EF095A" w:rsidRDefault="00BD67F3" w:rsidP="0024048C">
      <w:pPr>
        <w:numPr>
          <w:ilvl w:val="0"/>
          <w:numId w:val="38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 sporządzenie oraz zawarcie niniejszego</w:t>
      </w:r>
      <w:r w:rsidR="002B12F9">
        <w:rPr>
          <w:rFonts w:ascii="Calibri" w:hAnsi="Calibri" w:cs="Arial"/>
        </w:rPr>
        <w:t xml:space="preserve"> aneks</w:t>
      </w:r>
      <w:r>
        <w:rPr>
          <w:rFonts w:ascii="Calibri" w:hAnsi="Calibri" w:cs="Arial"/>
        </w:rPr>
        <w:t>u, Bank nie pobiera op</w:t>
      </w:r>
      <w:r w:rsidR="0068152C">
        <w:rPr>
          <w:rFonts w:ascii="Calibri" w:hAnsi="Calibri" w:cs="Arial"/>
        </w:rPr>
        <w:t>ł</w:t>
      </w:r>
      <w:r>
        <w:rPr>
          <w:rFonts w:ascii="Calibri" w:hAnsi="Calibri" w:cs="Arial"/>
        </w:rPr>
        <w:t>aty od Kredytobiorc</w:t>
      </w:r>
      <w:r w:rsidR="00F846D2">
        <w:rPr>
          <w:rFonts w:ascii="Calibri" w:hAnsi="Calibri" w:cs="Arial"/>
        </w:rPr>
        <w:t>y</w:t>
      </w:r>
      <w:r>
        <w:rPr>
          <w:rFonts w:ascii="Calibri" w:hAnsi="Calibri" w:cs="Arial"/>
        </w:rPr>
        <w:t>.</w:t>
      </w:r>
    </w:p>
    <w:p w14:paraId="00328B54" w14:textId="77777777" w:rsidR="00EF095A" w:rsidRDefault="00EF095A" w:rsidP="00CA151D">
      <w:pPr>
        <w:jc w:val="both"/>
        <w:rPr>
          <w:rFonts w:ascii="Calibri" w:hAnsi="Calibri" w:cs="Arial"/>
        </w:rPr>
      </w:pPr>
    </w:p>
    <w:p w14:paraId="2E17D069" w14:textId="77777777" w:rsidR="00375899" w:rsidRPr="00D11740" w:rsidRDefault="00375899" w:rsidP="00616ACB">
      <w:pPr>
        <w:numPr>
          <w:ilvl w:val="0"/>
          <w:numId w:val="27"/>
        </w:numPr>
        <w:spacing w:before="120" w:after="60"/>
        <w:jc w:val="center"/>
        <w:rPr>
          <w:rFonts w:ascii="Calibri" w:hAnsi="Calibri" w:cs="Arial"/>
          <w:b/>
        </w:rPr>
      </w:pPr>
    </w:p>
    <w:p w14:paraId="62A31D24" w14:textId="77777777" w:rsidR="00DC6750" w:rsidRDefault="00DC6750" w:rsidP="00CA151D">
      <w:pPr>
        <w:jc w:val="both"/>
        <w:rPr>
          <w:rFonts w:ascii="Calibri" w:hAnsi="Calibri" w:cs="Arial"/>
        </w:rPr>
      </w:pPr>
    </w:p>
    <w:p w14:paraId="26A1E3DE" w14:textId="77777777" w:rsidR="00375899" w:rsidRPr="00D11740" w:rsidRDefault="00375899" w:rsidP="00CA151D">
      <w:pPr>
        <w:jc w:val="both"/>
        <w:rPr>
          <w:rFonts w:ascii="Calibri" w:hAnsi="Calibri" w:cs="Arial"/>
        </w:rPr>
      </w:pPr>
      <w:r w:rsidRPr="00D11740">
        <w:rPr>
          <w:rFonts w:ascii="Calibri" w:hAnsi="Calibri" w:cs="Arial"/>
        </w:rPr>
        <w:t xml:space="preserve">Aneks sporządzony został w dwóch jednobrzmiących egzemplarzach po jednym dla każdej ze </w:t>
      </w:r>
      <w:r w:rsidR="006E6AE0">
        <w:rPr>
          <w:rFonts w:ascii="Calibri" w:hAnsi="Calibri" w:cs="Arial"/>
        </w:rPr>
        <w:t>S</w:t>
      </w:r>
      <w:r w:rsidRPr="00D11740">
        <w:rPr>
          <w:rFonts w:ascii="Calibri" w:hAnsi="Calibri" w:cs="Arial"/>
        </w:rPr>
        <w:t>tron.</w:t>
      </w:r>
    </w:p>
    <w:p w14:paraId="2BAF83CE" w14:textId="77777777" w:rsidR="0010325A" w:rsidRPr="0010325A" w:rsidRDefault="0010325A" w:rsidP="0010325A">
      <w:pPr>
        <w:ind w:left="142"/>
        <w:rPr>
          <w:rFonts w:ascii="Arial" w:hAnsi="Arial" w:cs="Arial"/>
          <w:sz w:val="14"/>
          <w:szCs w:val="14"/>
        </w:rPr>
      </w:pPr>
    </w:p>
    <w:p w14:paraId="07604C9B" w14:textId="77777777" w:rsidR="00DC6750" w:rsidRDefault="00DC6750" w:rsidP="00DC6750">
      <w:pPr>
        <w:tabs>
          <w:tab w:val="left" w:pos="7530"/>
        </w:tabs>
        <w:rPr>
          <w:rFonts w:ascii="Calibri" w:hAnsi="Calibri" w:cs="Arial"/>
          <w:b/>
          <w:color w:val="7F7F7F"/>
          <w:sz w:val="18"/>
          <w:szCs w:val="18"/>
        </w:rPr>
      </w:pPr>
    </w:p>
    <w:p w14:paraId="146796D3" w14:textId="77777777" w:rsidR="00DC6750" w:rsidRDefault="00DC6750" w:rsidP="00DC6750">
      <w:pPr>
        <w:tabs>
          <w:tab w:val="left" w:pos="7530"/>
        </w:tabs>
        <w:rPr>
          <w:rFonts w:ascii="Calibri" w:hAnsi="Calibri" w:cs="Arial"/>
          <w:b/>
          <w:color w:val="7F7F7F"/>
          <w:sz w:val="18"/>
          <w:szCs w:val="18"/>
        </w:rPr>
      </w:pPr>
    </w:p>
    <w:p w14:paraId="2D5E62C9" w14:textId="77777777" w:rsidR="00A74A39" w:rsidRDefault="00A74A39" w:rsidP="00DC6750">
      <w:pPr>
        <w:tabs>
          <w:tab w:val="left" w:pos="7530"/>
        </w:tabs>
        <w:rPr>
          <w:rFonts w:ascii="Calibri" w:hAnsi="Calibri" w:cs="Arial"/>
          <w:b/>
          <w:color w:val="7F7F7F"/>
          <w:sz w:val="18"/>
          <w:szCs w:val="18"/>
        </w:rPr>
      </w:pPr>
    </w:p>
    <w:p w14:paraId="44F52045" w14:textId="77777777" w:rsidR="00A74A39" w:rsidRDefault="00A74A39" w:rsidP="00DC6750">
      <w:pPr>
        <w:tabs>
          <w:tab w:val="left" w:pos="7530"/>
        </w:tabs>
        <w:rPr>
          <w:rFonts w:ascii="Calibri" w:hAnsi="Calibri" w:cs="Arial"/>
          <w:b/>
          <w:color w:val="7F7F7F"/>
          <w:sz w:val="18"/>
          <w:szCs w:val="18"/>
        </w:rPr>
      </w:pPr>
    </w:p>
    <w:p w14:paraId="5E094606" w14:textId="77777777" w:rsidR="00A74A39" w:rsidRDefault="00A74A39" w:rsidP="00DC6750">
      <w:pPr>
        <w:tabs>
          <w:tab w:val="left" w:pos="7530"/>
        </w:tabs>
        <w:rPr>
          <w:rFonts w:ascii="Calibri" w:hAnsi="Calibri" w:cs="Arial"/>
          <w:b/>
          <w:color w:val="7F7F7F"/>
          <w:sz w:val="18"/>
          <w:szCs w:val="18"/>
        </w:rPr>
      </w:pPr>
    </w:p>
    <w:p w14:paraId="651FDDD8" w14:textId="77777777" w:rsidR="00A74A39" w:rsidRDefault="00A74A39" w:rsidP="00DC6750">
      <w:pPr>
        <w:tabs>
          <w:tab w:val="left" w:pos="7530"/>
        </w:tabs>
        <w:rPr>
          <w:rFonts w:ascii="Calibri" w:hAnsi="Calibri" w:cs="Arial"/>
          <w:b/>
          <w:color w:val="7F7F7F"/>
          <w:sz w:val="18"/>
          <w:szCs w:val="18"/>
        </w:rPr>
      </w:pPr>
    </w:p>
    <w:p w14:paraId="6511DF30" w14:textId="77777777" w:rsidR="00DC6750" w:rsidRPr="00A74A39" w:rsidRDefault="00DC6750" w:rsidP="00DC6750">
      <w:pPr>
        <w:tabs>
          <w:tab w:val="left" w:pos="7530"/>
        </w:tabs>
        <w:rPr>
          <w:rFonts w:ascii="Calibri" w:hAnsi="Calibri" w:cs="Arial"/>
          <w:bCs/>
          <w:color w:val="7F7F7F"/>
          <w:sz w:val="18"/>
          <w:szCs w:val="18"/>
        </w:rPr>
      </w:pPr>
    </w:p>
    <w:p w14:paraId="79AC19AA" w14:textId="382D6674" w:rsidR="00DC6750" w:rsidRPr="00A74A39" w:rsidRDefault="00DC6750" w:rsidP="00DC6750">
      <w:pPr>
        <w:tabs>
          <w:tab w:val="left" w:pos="7530"/>
        </w:tabs>
        <w:rPr>
          <w:rFonts w:ascii="Calibri" w:hAnsi="Calibri" w:cs="Arial"/>
          <w:bCs/>
          <w:color w:val="7F7F7F"/>
          <w:sz w:val="18"/>
          <w:szCs w:val="18"/>
        </w:rPr>
      </w:pPr>
      <w:r w:rsidRPr="00A74A39">
        <w:rPr>
          <w:rFonts w:ascii="Calibri" w:hAnsi="Calibri" w:cs="Arial"/>
          <w:bCs/>
          <w:color w:val="7F7F7F"/>
          <w:sz w:val="18"/>
          <w:szCs w:val="18"/>
        </w:rPr>
        <w:t xml:space="preserve">_____________________________                                                                                                            </w:t>
      </w:r>
      <w:r w:rsidR="00EB796F" w:rsidRPr="00A74A39">
        <w:rPr>
          <w:rFonts w:ascii="Calibri" w:hAnsi="Calibri" w:cs="Arial"/>
          <w:bCs/>
          <w:color w:val="7F7F7F"/>
          <w:sz w:val="18"/>
          <w:szCs w:val="18"/>
        </w:rPr>
        <w:t xml:space="preserve">     </w:t>
      </w:r>
      <w:r w:rsidRPr="00A74A39">
        <w:rPr>
          <w:rFonts w:ascii="Calibri" w:hAnsi="Calibri" w:cs="Arial"/>
          <w:bCs/>
          <w:color w:val="7F7F7F"/>
          <w:sz w:val="18"/>
          <w:szCs w:val="18"/>
        </w:rPr>
        <w:t xml:space="preserve"> _________</w:t>
      </w:r>
      <w:r w:rsidR="00A74A39">
        <w:rPr>
          <w:rFonts w:ascii="Calibri" w:hAnsi="Calibri" w:cs="Arial"/>
          <w:bCs/>
          <w:color w:val="7F7F7F"/>
          <w:sz w:val="18"/>
          <w:szCs w:val="18"/>
        </w:rPr>
        <w:t>_______</w:t>
      </w:r>
      <w:r w:rsidRPr="00A74A39">
        <w:rPr>
          <w:rFonts w:ascii="Calibri" w:hAnsi="Calibri" w:cs="Arial"/>
          <w:bCs/>
          <w:color w:val="7F7F7F"/>
          <w:sz w:val="18"/>
          <w:szCs w:val="18"/>
        </w:rPr>
        <w:t>____________</w:t>
      </w:r>
    </w:p>
    <w:p w14:paraId="5A6177CE" w14:textId="574A61CB" w:rsidR="0010325A" w:rsidRPr="004A0CA7" w:rsidRDefault="00DC6750" w:rsidP="00DC6750">
      <w:pPr>
        <w:ind w:left="142"/>
        <w:rPr>
          <w:rFonts w:ascii="Arial" w:hAnsi="Arial" w:cs="Arial"/>
          <w:bCs/>
          <w:sz w:val="16"/>
          <w:szCs w:val="16"/>
        </w:rPr>
      </w:pPr>
      <w:r w:rsidRPr="004A0CA7">
        <w:rPr>
          <w:rFonts w:ascii="Calibri" w:hAnsi="Calibri" w:cs="Arial"/>
          <w:bCs/>
          <w:color w:val="7F7F7F"/>
          <w:sz w:val="16"/>
          <w:szCs w:val="16"/>
        </w:rPr>
        <w:t xml:space="preserve"> podpis Kredytobiorcy                                                                                                         </w:t>
      </w:r>
      <w:r w:rsidRPr="004A0CA7">
        <w:rPr>
          <w:rFonts w:ascii="Calibri" w:hAnsi="Calibri" w:cs="Arial"/>
          <w:bCs/>
          <w:color w:val="A6A6A6"/>
          <w:sz w:val="16"/>
          <w:szCs w:val="16"/>
        </w:rPr>
        <w:tab/>
        <w:t xml:space="preserve">                 </w:t>
      </w:r>
      <w:r w:rsidR="004A0CA7">
        <w:rPr>
          <w:rFonts w:ascii="Calibri" w:hAnsi="Calibri" w:cs="Arial"/>
          <w:bCs/>
          <w:color w:val="A6A6A6"/>
          <w:sz w:val="16"/>
          <w:szCs w:val="16"/>
        </w:rPr>
        <w:tab/>
      </w:r>
      <w:r w:rsidR="004A0CA7">
        <w:rPr>
          <w:rFonts w:ascii="Calibri" w:hAnsi="Calibri" w:cs="Arial"/>
          <w:bCs/>
          <w:color w:val="A6A6A6"/>
          <w:sz w:val="16"/>
          <w:szCs w:val="16"/>
        </w:rPr>
        <w:tab/>
        <w:t xml:space="preserve">    </w:t>
      </w:r>
      <w:r w:rsidRPr="004A0CA7">
        <w:rPr>
          <w:rFonts w:ascii="Calibri" w:hAnsi="Calibri" w:cs="Arial"/>
          <w:bCs/>
          <w:color w:val="A6A6A6"/>
          <w:sz w:val="16"/>
          <w:szCs w:val="16"/>
        </w:rPr>
        <w:t xml:space="preserve"> </w:t>
      </w:r>
      <w:r w:rsidRPr="004A0CA7">
        <w:rPr>
          <w:rFonts w:ascii="Calibri" w:hAnsi="Calibri" w:cs="Arial"/>
          <w:bCs/>
          <w:color w:val="7F7F7F"/>
          <w:sz w:val="16"/>
          <w:szCs w:val="16"/>
        </w:rPr>
        <w:t>pieczęć firmowa i podpisy za Bank</w:t>
      </w:r>
    </w:p>
    <w:p w14:paraId="683E0D26" w14:textId="77777777" w:rsidR="0010325A" w:rsidRPr="0010325A" w:rsidRDefault="0010325A" w:rsidP="0010325A">
      <w:pPr>
        <w:ind w:firstLine="708"/>
        <w:jc w:val="both"/>
        <w:rPr>
          <w:rFonts w:ascii="Arial" w:hAnsi="Arial" w:cs="Arial"/>
          <w:i/>
          <w:sz w:val="14"/>
          <w:szCs w:val="14"/>
        </w:rPr>
      </w:pPr>
    </w:p>
    <w:p w14:paraId="2F8B598D" w14:textId="77777777" w:rsidR="0010325A" w:rsidRPr="0010325A" w:rsidRDefault="0010325A" w:rsidP="0010325A">
      <w:pPr>
        <w:ind w:firstLine="708"/>
        <w:jc w:val="both"/>
        <w:rPr>
          <w:rFonts w:ascii="Arial" w:hAnsi="Arial" w:cs="Arial"/>
          <w:i/>
          <w:sz w:val="14"/>
          <w:szCs w:val="14"/>
        </w:rPr>
      </w:pPr>
    </w:p>
    <w:p w14:paraId="0FF73B89" w14:textId="77777777" w:rsidR="0010325A" w:rsidRPr="0010325A" w:rsidRDefault="0010325A" w:rsidP="0010325A">
      <w:pPr>
        <w:ind w:firstLine="708"/>
        <w:jc w:val="both"/>
        <w:rPr>
          <w:rFonts w:ascii="Arial" w:hAnsi="Arial" w:cs="Arial"/>
          <w:i/>
          <w:sz w:val="14"/>
          <w:szCs w:val="14"/>
        </w:rPr>
      </w:pPr>
    </w:p>
    <w:p w14:paraId="1AB3AAEC" w14:textId="77777777" w:rsidR="0010325A" w:rsidRDefault="0010325A" w:rsidP="0010325A">
      <w:pPr>
        <w:tabs>
          <w:tab w:val="left" w:pos="1096"/>
        </w:tabs>
        <w:rPr>
          <w:rFonts w:ascii="Arial" w:hAnsi="Arial" w:cs="Arial"/>
          <w:sz w:val="14"/>
          <w:szCs w:val="14"/>
        </w:rPr>
      </w:pPr>
    </w:p>
    <w:p w14:paraId="79B0E364" w14:textId="77777777" w:rsidR="00EC1A43" w:rsidRPr="0010325A" w:rsidRDefault="00EC1A43" w:rsidP="0010325A">
      <w:pPr>
        <w:tabs>
          <w:tab w:val="left" w:pos="1096"/>
        </w:tabs>
        <w:rPr>
          <w:rFonts w:ascii="Arial" w:hAnsi="Arial" w:cs="Arial"/>
          <w:sz w:val="14"/>
          <w:szCs w:val="14"/>
        </w:rPr>
      </w:pPr>
    </w:p>
    <w:p w14:paraId="1210745C" w14:textId="77777777" w:rsidR="0010325A" w:rsidRPr="0010325A" w:rsidRDefault="0010325A" w:rsidP="00863713">
      <w:pPr>
        <w:tabs>
          <w:tab w:val="left" w:pos="1053"/>
        </w:tabs>
        <w:rPr>
          <w:rFonts w:ascii="Arial" w:hAnsi="Arial" w:cs="Arial"/>
          <w:sz w:val="14"/>
          <w:szCs w:val="14"/>
        </w:rPr>
      </w:pPr>
      <w:r w:rsidRPr="0010325A">
        <w:rPr>
          <w:rFonts w:ascii="Arial" w:hAnsi="Arial" w:cs="Arial"/>
          <w:sz w:val="14"/>
          <w:szCs w:val="14"/>
        </w:rPr>
        <w:tab/>
      </w:r>
    </w:p>
    <w:p w14:paraId="1C4C98CF" w14:textId="77777777" w:rsidR="0010325A" w:rsidRPr="00A74A39" w:rsidRDefault="0010325A" w:rsidP="0010325A">
      <w:pPr>
        <w:jc w:val="both"/>
        <w:rPr>
          <w:rFonts w:ascii="Calibri" w:hAnsi="Calibri" w:cs="Arial"/>
          <w:i/>
          <w:sz w:val="18"/>
          <w:szCs w:val="18"/>
        </w:rPr>
      </w:pPr>
      <w:r w:rsidRPr="00A74A39">
        <w:rPr>
          <w:rFonts w:ascii="Calibri" w:hAnsi="Calibri" w:cs="Arial"/>
          <w:i/>
          <w:iCs/>
          <w:color w:val="000000"/>
          <w:sz w:val="18"/>
          <w:szCs w:val="18"/>
          <w:lang w:eastAsia="pl-PL"/>
        </w:rPr>
        <w:t xml:space="preserve">Potwierdzam własnoręczność podpisu Kredytobiorcy oraz zgodność zawartych w </w:t>
      </w:r>
      <w:r w:rsidR="00F846D2" w:rsidRPr="00A74A39">
        <w:rPr>
          <w:rFonts w:ascii="Calibri" w:hAnsi="Calibri" w:cs="Arial"/>
          <w:i/>
          <w:iCs/>
          <w:color w:val="000000"/>
          <w:sz w:val="18"/>
          <w:szCs w:val="18"/>
          <w:lang w:eastAsia="pl-PL"/>
        </w:rPr>
        <w:t xml:space="preserve">aneksie </w:t>
      </w:r>
      <w:r w:rsidRPr="00A74A39">
        <w:rPr>
          <w:rFonts w:ascii="Calibri" w:hAnsi="Calibri" w:cs="Arial"/>
          <w:i/>
          <w:iCs/>
          <w:color w:val="000000"/>
          <w:sz w:val="18"/>
          <w:szCs w:val="18"/>
          <w:lang w:eastAsia="pl-PL"/>
        </w:rPr>
        <w:t xml:space="preserve"> danych osobowych z przedłożonymi dokumentami tożsamości.</w:t>
      </w:r>
    </w:p>
    <w:p w14:paraId="418EF732" w14:textId="77777777" w:rsidR="0010325A" w:rsidRPr="00EB796F" w:rsidRDefault="0010325A" w:rsidP="0010325A">
      <w:pPr>
        <w:rPr>
          <w:rFonts w:ascii="Calibri" w:hAnsi="Calibri" w:cs="Arial"/>
        </w:rPr>
      </w:pPr>
    </w:p>
    <w:p w14:paraId="24AE0345" w14:textId="77777777" w:rsidR="0010325A" w:rsidRPr="0010325A" w:rsidRDefault="0010325A" w:rsidP="0010325A">
      <w:pPr>
        <w:rPr>
          <w:rFonts w:ascii="Arial" w:hAnsi="Arial" w:cs="Arial"/>
          <w:sz w:val="14"/>
          <w:szCs w:val="14"/>
        </w:rPr>
      </w:pPr>
    </w:p>
    <w:p w14:paraId="42C03A32" w14:textId="77777777" w:rsidR="0010325A" w:rsidRPr="0010325A" w:rsidRDefault="0010325A" w:rsidP="0010325A">
      <w:pPr>
        <w:rPr>
          <w:rFonts w:ascii="Arial" w:hAnsi="Arial" w:cs="Arial"/>
          <w:sz w:val="14"/>
          <w:szCs w:val="14"/>
        </w:rPr>
      </w:pPr>
    </w:p>
    <w:p w14:paraId="6385589E" w14:textId="77777777" w:rsidR="0010325A" w:rsidRPr="0010325A" w:rsidRDefault="0010325A" w:rsidP="0010325A">
      <w:pPr>
        <w:rPr>
          <w:rFonts w:ascii="Arial" w:hAnsi="Arial" w:cs="Arial"/>
          <w:sz w:val="14"/>
          <w:szCs w:val="14"/>
        </w:rPr>
      </w:pPr>
    </w:p>
    <w:p w14:paraId="0DA5980B" w14:textId="77777777" w:rsidR="0010325A" w:rsidRPr="0010325A" w:rsidRDefault="0010325A" w:rsidP="0010325A">
      <w:pPr>
        <w:rPr>
          <w:rFonts w:ascii="Arial" w:hAnsi="Arial" w:cs="Arial"/>
          <w:sz w:val="14"/>
          <w:szCs w:val="14"/>
        </w:rPr>
      </w:pPr>
    </w:p>
    <w:p w14:paraId="24C68E07" w14:textId="77777777" w:rsidR="0010325A" w:rsidRPr="0010325A" w:rsidRDefault="0010325A" w:rsidP="0010325A">
      <w:pPr>
        <w:rPr>
          <w:rFonts w:ascii="Arial" w:hAnsi="Arial" w:cs="Arial"/>
          <w:sz w:val="14"/>
          <w:szCs w:val="14"/>
        </w:rPr>
      </w:pPr>
    </w:p>
    <w:p w14:paraId="70436693" w14:textId="77777777" w:rsidR="00DC6750" w:rsidRPr="00A74A39" w:rsidRDefault="00DC6750" w:rsidP="00DC6750">
      <w:pPr>
        <w:tabs>
          <w:tab w:val="left" w:pos="7530"/>
        </w:tabs>
        <w:rPr>
          <w:rFonts w:ascii="Calibri" w:hAnsi="Calibri" w:cs="Arial"/>
          <w:bCs/>
          <w:color w:val="7F7F7F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</w:t>
      </w:r>
      <w:r w:rsidRPr="00A74A39">
        <w:rPr>
          <w:rFonts w:ascii="Calibri" w:hAnsi="Calibri" w:cs="Arial"/>
          <w:bCs/>
        </w:rPr>
        <w:t xml:space="preserve">    </w:t>
      </w:r>
      <w:r w:rsidRPr="00A74A39">
        <w:rPr>
          <w:rFonts w:ascii="Calibri" w:hAnsi="Calibri" w:cs="Arial"/>
          <w:bCs/>
          <w:color w:val="7F7F7F"/>
        </w:rPr>
        <w:t>________________________________________</w:t>
      </w:r>
    </w:p>
    <w:p w14:paraId="64C312E8" w14:textId="77777777" w:rsidR="009F3091" w:rsidRPr="004A0CA7" w:rsidRDefault="00DC6750" w:rsidP="001A7DE7">
      <w:pPr>
        <w:ind w:left="142"/>
        <w:rPr>
          <w:rFonts w:ascii="Calibri" w:hAnsi="Calibri" w:cs="Arial"/>
          <w:bCs/>
          <w:color w:val="7F7F7F"/>
          <w:sz w:val="18"/>
          <w:szCs w:val="18"/>
        </w:rPr>
      </w:pPr>
      <w:r w:rsidRPr="00A74A39">
        <w:rPr>
          <w:rFonts w:ascii="Calibri" w:hAnsi="Calibri" w:cs="Arial"/>
          <w:bCs/>
          <w:color w:val="7F7F7F"/>
        </w:rPr>
        <w:tab/>
      </w:r>
      <w:r w:rsidRPr="00A74A39">
        <w:rPr>
          <w:rFonts w:ascii="Calibri" w:hAnsi="Calibri" w:cs="Arial"/>
          <w:bCs/>
          <w:color w:val="7F7F7F"/>
        </w:rPr>
        <w:tab/>
      </w:r>
      <w:r w:rsidRPr="00A74A39">
        <w:rPr>
          <w:rFonts w:ascii="Calibri" w:hAnsi="Calibri" w:cs="Arial"/>
          <w:bCs/>
          <w:color w:val="7F7F7F"/>
        </w:rPr>
        <w:tab/>
      </w:r>
      <w:r w:rsidRPr="00A74A39">
        <w:rPr>
          <w:rFonts w:ascii="Calibri" w:hAnsi="Calibri" w:cs="Arial"/>
          <w:bCs/>
          <w:color w:val="7F7F7F"/>
        </w:rPr>
        <w:tab/>
      </w:r>
      <w:r w:rsidRPr="00A74A39">
        <w:rPr>
          <w:rFonts w:ascii="Calibri" w:hAnsi="Calibri" w:cs="Arial"/>
          <w:bCs/>
          <w:color w:val="7F7F7F"/>
        </w:rPr>
        <w:tab/>
      </w:r>
      <w:r w:rsidRPr="00A74A39">
        <w:rPr>
          <w:rFonts w:ascii="Calibri" w:hAnsi="Calibri" w:cs="Arial"/>
          <w:bCs/>
          <w:color w:val="7F7F7F"/>
        </w:rPr>
        <w:tab/>
      </w:r>
      <w:r w:rsidRPr="00A74A39">
        <w:rPr>
          <w:rFonts w:ascii="Calibri" w:hAnsi="Calibri" w:cs="Arial"/>
          <w:bCs/>
          <w:color w:val="7F7F7F"/>
        </w:rPr>
        <w:tab/>
      </w:r>
      <w:r w:rsidRPr="004A0CA7">
        <w:rPr>
          <w:rFonts w:ascii="Calibri" w:hAnsi="Calibri" w:cs="Arial"/>
          <w:bCs/>
          <w:color w:val="7F7F7F"/>
          <w:sz w:val="18"/>
          <w:szCs w:val="18"/>
        </w:rPr>
        <w:t xml:space="preserve">                              pieczątka imienna i podpis pracownika Banku</w:t>
      </w:r>
    </w:p>
    <w:sectPr w:rsidR="009F3091" w:rsidRPr="004A0CA7" w:rsidSect="005E2AA8">
      <w:footerReference w:type="even" r:id="rId9"/>
      <w:footerReference w:type="default" r:id="rId10"/>
      <w:footerReference w:type="first" r:id="rId11"/>
      <w:pgSz w:w="11906" w:h="16838" w:code="9"/>
      <w:pgMar w:top="567" w:right="851" w:bottom="284" w:left="851" w:header="283" w:footer="283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E8FE" w14:textId="77777777" w:rsidR="00012F4E" w:rsidRDefault="00012F4E">
      <w:r>
        <w:separator/>
      </w:r>
    </w:p>
  </w:endnote>
  <w:endnote w:type="continuationSeparator" w:id="0">
    <w:p w14:paraId="26756809" w14:textId="77777777" w:rsidR="00012F4E" w:rsidRDefault="000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4579" w14:textId="77777777" w:rsidR="00DB4F94" w:rsidRDefault="00DB4F94" w:rsidP="00375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89D19A" w14:textId="77777777" w:rsidR="00DB4F94" w:rsidRDefault="00DB4F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246999"/>
      <w:docPartObj>
        <w:docPartGallery w:val="Page Numbers (Bottom of Page)"/>
        <w:docPartUnique/>
      </w:docPartObj>
    </w:sdtPr>
    <w:sdtEndPr/>
    <w:sdtContent>
      <w:p w14:paraId="27BDF6EE" w14:textId="04EBB4FA" w:rsidR="004D660B" w:rsidRPr="004D660B" w:rsidRDefault="004D660B" w:rsidP="004D660B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D660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D660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4D660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4D660B">
          <w:rPr>
            <w:rFonts w:asciiTheme="minorHAnsi" w:hAnsiTheme="minorHAnsi" w:cstheme="minorHAnsi"/>
            <w:sz w:val="16"/>
            <w:szCs w:val="16"/>
          </w:rPr>
          <w:t>2</w:t>
        </w:r>
        <w:r w:rsidRPr="004D660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A9C7" w14:textId="48F11D14" w:rsidR="00DB4F94" w:rsidRPr="00FB39EB" w:rsidRDefault="00DB4F94" w:rsidP="00FB39EB">
    <w:pPr>
      <w:pStyle w:val="Stopka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5628" w14:textId="77777777" w:rsidR="00012F4E" w:rsidRDefault="00012F4E">
      <w:r>
        <w:separator/>
      </w:r>
    </w:p>
  </w:footnote>
  <w:footnote w:type="continuationSeparator" w:id="0">
    <w:p w14:paraId="3B7051CE" w14:textId="77777777" w:rsidR="00012F4E" w:rsidRDefault="0001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26C"/>
    <w:multiLevelType w:val="hybridMultilevel"/>
    <w:tmpl w:val="A158228C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043FEC"/>
    <w:multiLevelType w:val="hybridMultilevel"/>
    <w:tmpl w:val="F3EC43BC"/>
    <w:lvl w:ilvl="0" w:tplc="675A4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13E58"/>
    <w:multiLevelType w:val="multilevel"/>
    <w:tmpl w:val="4CB8BD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  <w:b/>
        <w:color w:val="00836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63512D"/>
    <w:multiLevelType w:val="hybridMultilevel"/>
    <w:tmpl w:val="EE6AED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1F1966"/>
    <w:multiLevelType w:val="hybridMultilevel"/>
    <w:tmpl w:val="1DFCAD0A"/>
    <w:lvl w:ilvl="0" w:tplc="8188BFC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29D4"/>
    <w:multiLevelType w:val="hybridMultilevel"/>
    <w:tmpl w:val="3FF6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7A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C64155"/>
    <w:multiLevelType w:val="singleLevel"/>
    <w:tmpl w:val="EA5E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EDA50AE"/>
    <w:multiLevelType w:val="singleLevel"/>
    <w:tmpl w:val="2C54E9B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9" w15:restartNumberingAfterBreak="0">
    <w:nsid w:val="28226AC0"/>
    <w:multiLevelType w:val="hybridMultilevel"/>
    <w:tmpl w:val="00784668"/>
    <w:lvl w:ilvl="0" w:tplc="8D489902">
      <w:start w:val="1"/>
      <w:numFmt w:val="decimal"/>
      <w:lvlText w:val="§ 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2461"/>
    <w:multiLevelType w:val="hybridMultilevel"/>
    <w:tmpl w:val="EE6AED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4E6704"/>
    <w:multiLevelType w:val="hybridMultilevel"/>
    <w:tmpl w:val="24146FA6"/>
    <w:lvl w:ilvl="0" w:tplc="87AE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B5087"/>
    <w:multiLevelType w:val="hybridMultilevel"/>
    <w:tmpl w:val="ED5202B6"/>
    <w:lvl w:ilvl="0" w:tplc="89A60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3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44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08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E9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2A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E4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C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61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361FD"/>
    <w:multiLevelType w:val="hybridMultilevel"/>
    <w:tmpl w:val="FA704F12"/>
    <w:lvl w:ilvl="0" w:tplc="0D3644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01DAF"/>
    <w:multiLevelType w:val="multilevel"/>
    <w:tmpl w:val="8CFE7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trike w:val="0"/>
        <w:dstrike w:val="0"/>
        <w:color w:val="auto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4B7F8F"/>
    <w:multiLevelType w:val="hybridMultilevel"/>
    <w:tmpl w:val="1D54788A"/>
    <w:lvl w:ilvl="0" w:tplc="A834497A">
      <w:start w:val="1"/>
      <w:numFmt w:val="decimal"/>
      <w:lvlText w:val="%1)"/>
      <w:lvlJc w:val="left"/>
      <w:pPr>
        <w:ind w:left="1722" w:hanging="72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6" w15:restartNumberingAfterBreak="0">
    <w:nsid w:val="35221944"/>
    <w:multiLevelType w:val="hybridMultilevel"/>
    <w:tmpl w:val="61B2777E"/>
    <w:lvl w:ilvl="0" w:tplc="00FC3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AC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2F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E6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83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A9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A6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9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ED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AC0958"/>
    <w:multiLevelType w:val="hybridMultilevel"/>
    <w:tmpl w:val="2D32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6FE"/>
    <w:multiLevelType w:val="hybridMultilevel"/>
    <w:tmpl w:val="4A2616D0"/>
    <w:lvl w:ilvl="0" w:tplc="D16CB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7225"/>
    <w:multiLevelType w:val="hybridMultilevel"/>
    <w:tmpl w:val="2D32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143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CB6341C"/>
    <w:multiLevelType w:val="multilevel"/>
    <w:tmpl w:val="3676CA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D6E43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B7352E"/>
    <w:multiLevelType w:val="hybridMultilevel"/>
    <w:tmpl w:val="E1F88E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765764"/>
    <w:multiLevelType w:val="multilevel"/>
    <w:tmpl w:val="89AE5E7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decimal"/>
      <w:lvlText w:val="%2)"/>
      <w:legacy w:legacy="1" w:legacySpace="0" w:legacyIndent="340"/>
      <w:lvlJc w:val="left"/>
      <w:pPr>
        <w:ind w:left="680" w:hanging="34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BB1F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4E125E"/>
    <w:multiLevelType w:val="singleLevel"/>
    <w:tmpl w:val="A1BC495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27" w15:restartNumberingAfterBreak="0">
    <w:nsid w:val="58A73C80"/>
    <w:multiLevelType w:val="singleLevel"/>
    <w:tmpl w:val="95B4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E605330"/>
    <w:multiLevelType w:val="hybridMultilevel"/>
    <w:tmpl w:val="2A6CF66E"/>
    <w:lvl w:ilvl="0" w:tplc="7AEC3132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981231"/>
    <w:multiLevelType w:val="singleLevel"/>
    <w:tmpl w:val="0FAA5E3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</w:abstractNum>
  <w:abstractNum w:abstractNumId="30" w15:restartNumberingAfterBreak="0">
    <w:nsid w:val="5F9B7650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84626C"/>
    <w:multiLevelType w:val="hybridMultilevel"/>
    <w:tmpl w:val="B040309E"/>
    <w:lvl w:ilvl="0" w:tplc="A9CC8092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7D2149"/>
    <w:multiLevelType w:val="hybridMultilevel"/>
    <w:tmpl w:val="5852BE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37D114B"/>
    <w:multiLevelType w:val="hybridMultilevel"/>
    <w:tmpl w:val="6064310C"/>
    <w:lvl w:ilvl="0" w:tplc="D768590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C32D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3C3BA0"/>
    <w:multiLevelType w:val="singleLevel"/>
    <w:tmpl w:val="D456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EAB69A8"/>
    <w:multiLevelType w:val="hybridMultilevel"/>
    <w:tmpl w:val="2436B2A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724173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BD684B"/>
    <w:multiLevelType w:val="hybridMultilevel"/>
    <w:tmpl w:val="FD288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3654C"/>
    <w:multiLevelType w:val="hybridMultilevel"/>
    <w:tmpl w:val="56AEBD90"/>
    <w:lvl w:ilvl="0" w:tplc="BB20723A">
      <w:start w:val="1"/>
      <w:numFmt w:val="decimal"/>
      <w:lvlText w:val="%1)"/>
      <w:lvlJc w:val="left"/>
      <w:pPr>
        <w:ind w:left="106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6903D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885BAF"/>
    <w:multiLevelType w:val="multilevel"/>
    <w:tmpl w:val="71147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AE20D17"/>
    <w:multiLevelType w:val="hybridMultilevel"/>
    <w:tmpl w:val="2C9CB832"/>
    <w:lvl w:ilvl="0" w:tplc="761A63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num w:numId="1" w16cid:durableId="972248539">
    <w:abstractNumId w:val="37"/>
  </w:num>
  <w:num w:numId="2" w16cid:durableId="1012487543">
    <w:abstractNumId w:val="20"/>
  </w:num>
  <w:num w:numId="3" w16cid:durableId="1974289237">
    <w:abstractNumId w:val="27"/>
  </w:num>
  <w:num w:numId="4" w16cid:durableId="368535695">
    <w:abstractNumId w:val="12"/>
  </w:num>
  <w:num w:numId="5" w16cid:durableId="680619856">
    <w:abstractNumId w:val="16"/>
  </w:num>
  <w:num w:numId="6" w16cid:durableId="995456734">
    <w:abstractNumId w:val="24"/>
  </w:num>
  <w:num w:numId="7" w16cid:durableId="2035302741">
    <w:abstractNumId w:val="21"/>
  </w:num>
  <w:num w:numId="8" w16cid:durableId="1069767193">
    <w:abstractNumId w:val="41"/>
  </w:num>
  <w:num w:numId="9" w16cid:durableId="1122187361">
    <w:abstractNumId w:val="24"/>
  </w:num>
  <w:num w:numId="10" w16cid:durableId="1441299121">
    <w:abstractNumId w:val="25"/>
  </w:num>
  <w:num w:numId="11" w16cid:durableId="620037857">
    <w:abstractNumId w:val="30"/>
  </w:num>
  <w:num w:numId="12" w16cid:durableId="15353383">
    <w:abstractNumId w:val="6"/>
  </w:num>
  <w:num w:numId="13" w16cid:durableId="369380204">
    <w:abstractNumId w:val="34"/>
  </w:num>
  <w:num w:numId="14" w16cid:durableId="112796711">
    <w:abstractNumId w:val="40"/>
  </w:num>
  <w:num w:numId="15" w16cid:durableId="1970668040">
    <w:abstractNumId w:val="22"/>
  </w:num>
  <w:num w:numId="16" w16cid:durableId="1363818782">
    <w:abstractNumId w:val="8"/>
  </w:num>
  <w:num w:numId="17" w16cid:durableId="1284653169">
    <w:abstractNumId w:val="26"/>
  </w:num>
  <w:num w:numId="18" w16cid:durableId="99763245">
    <w:abstractNumId w:val="7"/>
  </w:num>
  <w:num w:numId="19" w16cid:durableId="1508327694">
    <w:abstractNumId w:val="29"/>
  </w:num>
  <w:num w:numId="20" w16cid:durableId="604506428">
    <w:abstractNumId w:val="35"/>
  </w:num>
  <w:num w:numId="21" w16cid:durableId="138616717">
    <w:abstractNumId w:val="33"/>
  </w:num>
  <w:num w:numId="22" w16cid:durableId="645819151">
    <w:abstractNumId w:val="42"/>
  </w:num>
  <w:num w:numId="23" w16cid:durableId="293294860">
    <w:abstractNumId w:val="13"/>
  </w:num>
  <w:num w:numId="24" w16cid:durableId="1330408247">
    <w:abstractNumId w:val="24"/>
  </w:num>
  <w:num w:numId="25" w16cid:durableId="2056587612">
    <w:abstractNumId w:val="11"/>
  </w:num>
  <w:num w:numId="26" w16cid:durableId="1228765765">
    <w:abstractNumId w:val="1"/>
  </w:num>
  <w:num w:numId="27" w16cid:durableId="793982883">
    <w:abstractNumId w:val="9"/>
  </w:num>
  <w:num w:numId="28" w16cid:durableId="963969201">
    <w:abstractNumId w:val="14"/>
  </w:num>
  <w:num w:numId="29" w16cid:durableId="383528309">
    <w:abstractNumId w:val="3"/>
  </w:num>
  <w:num w:numId="30" w16cid:durableId="1257903165">
    <w:abstractNumId w:val="17"/>
  </w:num>
  <w:num w:numId="31" w16cid:durableId="1978874374">
    <w:abstractNumId w:val="5"/>
  </w:num>
  <w:num w:numId="32" w16cid:durableId="1741169520">
    <w:abstractNumId w:val="18"/>
  </w:num>
  <w:num w:numId="33" w16cid:durableId="406998317">
    <w:abstractNumId w:val="10"/>
  </w:num>
  <w:num w:numId="34" w16cid:durableId="543366331">
    <w:abstractNumId w:val="36"/>
  </w:num>
  <w:num w:numId="35" w16cid:durableId="1941832258">
    <w:abstractNumId w:val="38"/>
  </w:num>
  <w:num w:numId="36" w16cid:durableId="646475121">
    <w:abstractNumId w:val="32"/>
  </w:num>
  <w:num w:numId="37" w16cid:durableId="30344774">
    <w:abstractNumId w:val="4"/>
  </w:num>
  <w:num w:numId="38" w16cid:durableId="762343262">
    <w:abstractNumId w:val="19"/>
  </w:num>
  <w:num w:numId="39" w16cid:durableId="2090616097">
    <w:abstractNumId w:val="15"/>
  </w:num>
  <w:num w:numId="40" w16cid:durableId="437792476">
    <w:abstractNumId w:val="2"/>
  </w:num>
  <w:num w:numId="41" w16cid:durableId="686299037">
    <w:abstractNumId w:val="28"/>
  </w:num>
  <w:num w:numId="42" w16cid:durableId="1335036006">
    <w:abstractNumId w:val="39"/>
  </w:num>
  <w:num w:numId="43" w16cid:durableId="1038429296">
    <w:abstractNumId w:val="0"/>
  </w:num>
  <w:num w:numId="44" w16cid:durableId="204682493">
    <w:abstractNumId w:val="23"/>
  </w:num>
  <w:num w:numId="45" w16cid:durableId="8695341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B"/>
    <w:rsid w:val="000004E8"/>
    <w:rsid w:val="00004EE7"/>
    <w:rsid w:val="00005074"/>
    <w:rsid w:val="00010088"/>
    <w:rsid w:val="00012F4E"/>
    <w:rsid w:val="00014350"/>
    <w:rsid w:val="00014761"/>
    <w:rsid w:val="00017CA0"/>
    <w:rsid w:val="00023394"/>
    <w:rsid w:val="000300E5"/>
    <w:rsid w:val="00032F8B"/>
    <w:rsid w:val="00046CAB"/>
    <w:rsid w:val="00050F44"/>
    <w:rsid w:val="000555EC"/>
    <w:rsid w:val="00056928"/>
    <w:rsid w:val="000614BB"/>
    <w:rsid w:val="00084412"/>
    <w:rsid w:val="00085A7E"/>
    <w:rsid w:val="00087B3A"/>
    <w:rsid w:val="000A7810"/>
    <w:rsid w:val="000D6863"/>
    <w:rsid w:val="000D6B6A"/>
    <w:rsid w:val="000F1E2C"/>
    <w:rsid w:val="00100C18"/>
    <w:rsid w:val="0010325A"/>
    <w:rsid w:val="0011225C"/>
    <w:rsid w:val="001122C9"/>
    <w:rsid w:val="0011327A"/>
    <w:rsid w:val="00121054"/>
    <w:rsid w:val="00132D94"/>
    <w:rsid w:val="00133546"/>
    <w:rsid w:val="00142BDD"/>
    <w:rsid w:val="00145FD1"/>
    <w:rsid w:val="00147640"/>
    <w:rsid w:val="00151909"/>
    <w:rsid w:val="0017043B"/>
    <w:rsid w:val="00175D05"/>
    <w:rsid w:val="0017694D"/>
    <w:rsid w:val="001812DA"/>
    <w:rsid w:val="00186C13"/>
    <w:rsid w:val="00192D23"/>
    <w:rsid w:val="0019605C"/>
    <w:rsid w:val="00197A69"/>
    <w:rsid w:val="001A27CA"/>
    <w:rsid w:val="001A58CC"/>
    <w:rsid w:val="001A7342"/>
    <w:rsid w:val="001A7DE7"/>
    <w:rsid w:val="001B1DA1"/>
    <w:rsid w:val="001B427D"/>
    <w:rsid w:val="001B5680"/>
    <w:rsid w:val="001B7187"/>
    <w:rsid w:val="001C514E"/>
    <w:rsid w:val="001D2741"/>
    <w:rsid w:val="001D36DB"/>
    <w:rsid w:val="001D636C"/>
    <w:rsid w:val="001E3550"/>
    <w:rsid w:val="001E57F7"/>
    <w:rsid w:val="001F20D0"/>
    <w:rsid w:val="00201F8F"/>
    <w:rsid w:val="002037BC"/>
    <w:rsid w:val="00205EC7"/>
    <w:rsid w:val="0020712C"/>
    <w:rsid w:val="00223454"/>
    <w:rsid w:val="00231993"/>
    <w:rsid w:val="00233517"/>
    <w:rsid w:val="00233D4E"/>
    <w:rsid w:val="0024048C"/>
    <w:rsid w:val="00240643"/>
    <w:rsid w:val="002408A1"/>
    <w:rsid w:val="0024149A"/>
    <w:rsid w:val="00243B94"/>
    <w:rsid w:val="002460A0"/>
    <w:rsid w:val="00247848"/>
    <w:rsid w:val="00247F19"/>
    <w:rsid w:val="002517B7"/>
    <w:rsid w:val="00252F1F"/>
    <w:rsid w:val="00256C4C"/>
    <w:rsid w:val="002653B0"/>
    <w:rsid w:val="0026552D"/>
    <w:rsid w:val="002748BB"/>
    <w:rsid w:val="00280DB5"/>
    <w:rsid w:val="002839C1"/>
    <w:rsid w:val="00294CBF"/>
    <w:rsid w:val="002953C9"/>
    <w:rsid w:val="00296C9D"/>
    <w:rsid w:val="002A2E51"/>
    <w:rsid w:val="002A477D"/>
    <w:rsid w:val="002B12F9"/>
    <w:rsid w:val="002B1887"/>
    <w:rsid w:val="002B3436"/>
    <w:rsid w:val="002B51B3"/>
    <w:rsid w:val="002B5216"/>
    <w:rsid w:val="002C0DCE"/>
    <w:rsid w:val="002C13C0"/>
    <w:rsid w:val="002C322B"/>
    <w:rsid w:val="002C4915"/>
    <w:rsid w:val="002D489B"/>
    <w:rsid w:val="002D6832"/>
    <w:rsid w:val="002E2C35"/>
    <w:rsid w:val="002E6EE8"/>
    <w:rsid w:val="002F2178"/>
    <w:rsid w:val="00307683"/>
    <w:rsid w:val="00311435"/>
    <w:rsid w:val="00332ADD"/>
    <w:rsid w:val="003362D2"/>
    <w:rsid w:val="003430A7"/>
    <w:rsid w:val="00344E28"/>
    <w:rsid w:val="00350515"/>
    <w:rsid w:val="00350FB0"/>
    <w:rsid w:val="00351431"/>
    <w:rsid w:val="003665EC"/>
    <w:rsid w:val="00366A54"/>
    <w:rsid w:val="00367BD1"/>
    <w:rsid w:val="00375899"/>
    <w:rsid w:val="00376790"/>
    <w:rsid w:val="003846B6"/>
    <w:rsid w:val="003931D1"/>
    <w:rsid w:val="003A098C"/>
    <w:rsid w:val="003A0A6F"/>
    <w:rsid w:val="003B175D"/>
    <w:rsid w:val="003B4D64"/>
    <w:rsid w:val="003B4E73"/>
    <w:rsid w:val="003C078B"/>
    <w:rsid w:val="003C58CD"/>
    <w:rsid w:val="003D38FD"/>
    <w:rsid w:val="003E5F78"/>
    <w:rsid w:val="003F282C"/>
    <w:rsid w:val="003F62A7"/>
    <w:rsid w:val="003F7327"/>
    <w:rsid w:val="00402EBF"/>
    <w:rsid w:val="00405142"/>
    <w:rsid w:val="004140F2"/>
    <w:rsid w:val="00417F21"/>
    <w:rsid w:val="00421CF7"/>
    <w:rsid w:val="00427F40"/>
    <w:rsid w:val="0043245A"/>
    <w:rsid w:val="004329F7"/>
    <w:rsid w:val="004439A7"/>
    <w:rsid w:val="004463F5"/>
    <w:rsid w:val="00452517"/>
    <w:rsid w:val="00471347"/>
    <w:rsid w:val="004942D8"/>
    <w:rsid w:val="004A0CA7"/>
    <w:rsid w:val="004A1BCB"/>
    <w:rsid w:val="004A5CE7"/>
    <w:rsid w:val="004B0DEB"/>
    <w:rsid w:val="004B1F6C"/>
    <w:rsid w:val="004B6C3D"/>
    <w:rsid w:val="004B6F24"/>
    <w:rsid w:val="004D1A9E"/>
    <w:rsid w:val="004D3322"/>
    <w:rsid w:val="004D4214"/>
    <w:rsid w:val="004D49AC"/>
    <w:rsid w:val="004D660B"/>
    <w:rsid w:val="004E0656"/>
    <w:rsid w:val="004E67AA"/>
    <w:rsid w:val="004E70FE"/>
    <w:rsid w:val="004F0546"/>
    <w:rsid w:val="004F5FD0"/>
    <w:rsid w:val="004F6CB1"/>
    <w:rsid w:val="004F7E96"/>
    <w:rsid w:val="0050148A"/>
    <w:rsid w:val="00503967"/>
    <w:rsid w:val="00503B23"/>
    <w:rsid w:val="0050487A"/>
    <w:rsid w:val="00514244"/>
    <w:rsid w:val="0054150F"/>
    <w:rsid w:val="0054238B"/>
    <w:rsid w:val="00544524"/>
    <w:rsid w:val="00546CBA"/>
    <w:rsid w:val="00550009"/>
    <w:rsid w:val="00566214"/>
    <w:rsid w:val="00567DEB"/>
    <w:rsid w:val="005718E8"/>
    <w:rsid w:val="00572351"/>
    <w:rsid w:val="00572ECA"/>
    <w:rsid w:val="00576408"/>
    <w:rsid w:val="00582424"/>
    <w:rsid w:val="00594BB5"/>
    <w:rsid w:val="00597B44"/>
    <w:rsid w:val="005A0A97"/>
    <w:rsid w:val="005A25BA"/>
    <w:rsid w:val="005A3497"/>
    <w:rsid w:val="005A3AC5"/>
    <w:rsid w:val="005A6234"/>
    <w:rsid w:val="005B163A"/>
    <w:rsid w:val="005C362D"/>
    <w:rsid w:val="005C7441"/>
    <w:rsid w:val="005D03AD"/>
    <w:rsid w:val="005D32F4"/>
    <w:rsid w:val="005D6E36"/>
    <w:rsid w:val="005D7260"/>
    <w:rsid w:val="005E2AA8"/>
    <w:rsid w:val="005E3DCB"/>
    <w:rsid w:val="005E4A02"/>
    <w:rsid w:val="005E7FF3"/>
    <w:rsid w:val="00610DE4"/>
    <w:rsid w:val="0061213A"/>
    <w:rsid w:val="00616A02"/>
    <w:rsid w:val="00616ACB"/>
    <w:rsid w:val="00620B5C"/>
    <w:rsid w:val="00621F2F"/>
    <w:rsid w:val="00621FA0"/>
    <w:rsid w:val="006230C9"/>
    <w:rsid w:val="00623B96"/>
    <w:rsid w:val="0062502A"/>
    <w:rsid w:val="00647D0A"/>
    <w:rsid w:val="00656A1D"/>
    <w:rsid w:val="00675487"/>
    <w:rsid w:val="006756E9"/>
    <w:rsid w:val="00676C6A"/>
    <w:rsid w:val="0068055F"/>
    <w:rsid w:val="0068152C"/>
    <w:rsid w:val="006B583A"/>
    <w:rsid w:val="006B7B7B"/>
    <w:rsid w:val="006C319F"/>
    <w:rsid w:val="006C4817"/>
    <w:rsid w:val="006C716C"/>
    <w:rsid w:val="006C7CBD"/>
    <w:rsid w:val="006D47F0"/>
    <w:rsid w:val="006D57CB"/>
    <w:rsid w:val="006D59B2"/>
    <w:rsid w:val="006E06AE"/>
    <w:rsid w:val="006E6AE0"/>
    <w:rsid w:val="006E6D69"/>
    <w:rsid w:val="006F51FF"/>
    <w:rsid w:val="006F6AE3"/>
    <w:rsid w:val="00722B99"/>
    <w:rsid w:val="00737A59"/>
    <w:rsid w:val="00737B8F"/>
    <w:rsid w:val="00746E34"/>
    <w:rsid w:val="007715C9"/>
    <w:rsid w:val="007A05E2"/>
    <w:rsid w:val="007B4C78"/>
    <w:rsid w:val="007C4794"/>
    <w:rsid w:val="007C4A3A"/>
    <w:rsid w:val="007D7D65"/>
    <w:rsid w:val="007E3FB5"/>
    <w:rsid w:val="007E6012"/>
    <w:rsid w:val="007F0517"/>
    <w:rsid w:val="007F28DA"/>
    <w:rsid w:val="00805E4F"/>
    <w:rsid w:val="00820450"/>
    <w:rsid w:val="00821333"/>
    <w:rsid w:val="00836B8F"/>
    <w:rsid w:val="00842B64"/>
    <w:rsid w:val="00853AE1"/>
    <w:rsid w:val="00857D58"/>
    <w:rsid w:val="008618C7"/>
    <w:rsid w:val="00863713"/>
    <w:rsid w:val="00865B4A"/>
    <w:rsid w:val="00866D1D"/>
    <w:rsid w:val="00885D35"/>
    <w:rsid w:val="008902FA"/>
    <w:rsid w:val="00891503"/>
    <w:rsid w:val="008934D3"/>
    <w:rsid w:val="0089440F"/>
    <w:rsid w:val="00895B3B"/>
    <w:rsid w:val="008A399F"/>
    <w:rsid w:val="008A5B46"/>
    <w:rsid w:val="008B3744"/>
    <w:rsid w:val="008C18E9"/>
    <w:rsid w:val="008E3D59"/>
    <w:rsid w:val="008E3EE2"/>
    <w:rsid w:val="008F7571"/>
    <w:rsid w:val="0090175E"/>
    <w:rsid w:val="00904AC0"/>
    <w:rsid w:val="00907260"/>
    <w:rsid w:val="009160E6"/>
    <w:rsid w:val="00921C96"/>
    <w:rsid w:val="0092335E"/>
    <w:rsid w:val="009304FA"/>
    <w:rsid w:val="00930690"/>
    <w:rsid w:val="009359B5"/>
    <w:rsid w:val="00943C56"/>
    <w:rsid w:val="00954AF8"/>
    <w:rsid w:val="00957837"/>
    <w:rsid w:val="00961AC6"/>
    <w:rsid w:val="009620AC"/>
    <w:rsid w:val="0097600F"/>
    <w:rsid w:val="00993F22"/>
    <w:rsid w:val="009A357C"/>
    <w:rsid w:val="009B0C6D"/>
    <w:rsid w:val="009C2FCA"/>
    <w:rsid w:val="009C7748"/>
    <w:rsid w:val="009D5536"/>
    <w:rsid w:val="009D5F81"/>
    <w:rsid w:val="009E2970"/>
    <w:rsid w:val="009F3091"/>
    <w:rsid w:val="009F6A89"/>
    <w:rsid w:val="00A01B96"/>
    <w:rsid w:val="00A04217"/>
    <w:rsid w:val="00A06345"/>
    <w:rsid w:val="00A16C73"/>
    <w:rsid w:val="00A35F38"/>
    <w:rsid w:val="00A4215C"/>
    <w:rsid w:val="00A4266A"/>
    <w:rsid w:val="00A43C93"/>
    <w:rsid w:val="00A52B56"/>
    <w:rsid w:val="00A65ACA"/>
    <w:rsid w:val="00A74A39"/>
    <w:rsid w:val="00A764C8"/>
    <w:rsid w:val="00A76A40"/>
    <w:rsid w:val="00A77323"/>
    <w:rsid w:val="00A7758C"/>
    <w:rsid w:val="00A95E76"/>
    <w:rsid w:val="00AA2948"/>
    <w:rsid w:val="00AA4DC2"/>
    <w:rsid w:val="00AA5A3E"/>
    <w:rsid w:val="00AA628A"/>
    <w:rsid w:val="00AA6D56"/>
    <w:rsid w:val="00AD25B2"/>
    <w:rsid w:val="00AD38DE"/>
    <w:rsid w:val="00AD3B50"/>
    <w:rsid w:val="00AD3D43"/>
    <w:rsid w:val="00AD55D1"/>
    <w:rsid w:val="00AD7883"/>
    <w:rsid w:val="00AE4B2C"/>
    <w:rsid w:val="00AE587E"/>
    <w:rsid w:val="00AE7018"/>
    <w:rsid w:val="00AF7FDF"/>
    <w:rsid w:val="00B0252D"/>
    <w:rsid w:val="00B04CDB"/>
    <w:rsid w:val="00B064AA"/>
    <w:rsid w:val="00B075A1"/>
    <w:rsid w:val="00B24633"/>
    <w:rsid w:val="00B26362"/>
    <w:rsid w:val="00B27A2D"/>
    <w:rsid w:val="00B378C7"/>
    <w:rsid w:val="00B37DBA"/>
    <w:rsid w:val="00B611DE"/>
    <w:rsid w:val="00B67CB1"/>
    <w:rsid w:val="00B70207"/>
    <w:rsid w:val="00BA01FE"/>
    <w:rsid w:val="00BA36E2"/>
    <w:rsid w:val="00BB5D9F"/>
    <w:rsid w:val="00BC30D6"/>
    <w:rsid w:val="00BC7648"/>
    <w:rsid w:val="00BD67F3"/>
    <w:rsid w:val="00BE5E0C"/>
    <w:rsid w:val="00BF2AC1"/>
    <w:rsid w:val="00BF5E52"/>
    <w:rsid w:val="00C14F74"/>
    <w:rsid w:val="00C278C5"/>
    <w:rsid w:val="00C3097C"/>
    <w:rsid w:val="00C3219E"/>
    <w:rsid w:val="00C3760B"/>
    <w:rsid w:val="00C37C8B"/>
    <w:rsid w:val="00C71DF9"/>
    <w:rsid w:val="00C71E82"/>
    <w:rsid w:val="00C72734"/>
    <w:rsid w:val="00C83615"/>
    <w:rsid w:val="00C93E68"/>
    <w:rsid w:val="00C9754A"/>
    <w:rsid w:val="00CA0680"/>
    <w:rsid w:val="00CA151D"/>
    <w:rsid w:val="00CA23BF"/>
    <w:rsid w:val="00CA2D92"/>
    <w:rsid w:val="00CA30C9"/>
    <w:rsid w:val="00CC35EF"/>
    <w:rsid w:val="00CE4144"/>
    <w:rsid w:val="00CE4AB4"/>
    <w:rsid w:val="00CE7EEE"/>
    <w:rsid w:val="00CF2D05"/>
    <w:rsid w:val="00CF432A"/>
    <w:rsid w:val="00D11740"/>
    <w:rsid w:val="00D22D1F"/>
    <w:rsid w:val="00D24BA3"/>
    <w:rsid w:val="00D256FC"/>
    <w:rsid w:val="00D261DF"/>
    <w:rsid w:val="00D32F24"/>
    <w:rsid w:val="00D361C7"/>
    <w:rsid w:val="00D66DB0"/>
    <w:rsid w:val="00D829BA"/>
    <w:rsid w:val="00D931F0"/>
    <w:rsid w:val="00DA0362"/>
    <w:rsid w:val="00DA3423"/>
    <w:rsid w:val="00DB4E79"/>
    <w:rsid w:val="00DB4F94"/>
    <w:rsid w:val="00DB59A5"/>
    <w:rsid w:val="00DC6750"/>
    <w:rsid w:val="00DD4BDA"/>
    <w:rsid w:val="00DE6DA2"/>
    <w:rsid w:val="00DF08A3"/>
    <w:rsid w:val="00E06957"/>
    <w:rsid w:val="00E14916"/>
    <w:rsid w:val="00E1551F"/>
    <w:rsid w:val="00E15D11"/>
    <w:rsid w:val="00E27F2C"/>
    <w:rsid w:val="00E328A9"/>
    <w:rsid w:val="00E35CFD"/>
    <w:rsid w:val="00E35D51"/>
    <w:rsid w:val="00E36809"/>
    <w:rsid w:val="00E37037"/>
    <w:rsid w:val="00E413BD"/>
    <w:rsid w:val="00E4248B"/>
    <w:rsid w:val="00E43B31"/>
    <w:rsid w:val="00E524FA"/>
    <w:rsid w:val="00E6619A"/>
    <w:rsid w:val="00E802F0"/>
    <w:rsid w:val="00E943A7"/>
    <w:rsid w:val="00E946F4"/>
    <w:rsid w:val="00EA0D05"/>
    <w:rsid w:val="00EA28DB"/>
    <w:rsid w:val="00EB3A3F"/>
    <w:rsid w:val="00EB3DEA"/>
    <w:rsid w:val="00EB796F"/>
    <w:rsid w:val="00EC1A43"/>
    <w:rsid w:val="00EC4F04"/>
    <w:rsid w:val="00EC7E06"/>
    <w:rsid w:val="00EE082D"/>
    <w:rsid w:val="00EE1C52"/>
    <w:rsid w:val="00EE1CF9"/>
    <w:rsid w:val="00EE373E"/>
    <w:rsid w:val="00EE7ACE"/>
    <w:rsid w:val="00EF095A"/>
    <w:rsid w:val="00F0251B"/>
    <w:rsid w:val="00F067EF"/>
    <w:rsid w:val="00F108DE"/>
    <w:rsid w:val="00F1343B"/>
    <w:rsid w:val="00F31E8C"/>
    <w:rsid w:val="00F41E08"/>
    <w:rsid w:val="00F4329E"/>
    <w:rsid w:val="00F50318"/>
    <w:rsid w:val="00F51AD4"/>
    <w:rsid w:val="00F64986"/>
    <w:rsid w:val="00F67E0D"/>
    <w:rsid w:val="00F74611"/>
    <w:rsid w:val="00F805C4"/>
    <w:rsid w:val="00F846D2"/>
    <w:rsid w:val="00F851FC"/>
    <w:rsid w:val="00F92670"/>
    <w:rsid w:val="00F958AC"/>
    <w:rsid w:val="00F97CDA"/>
    <w:rsid w:val="00F97F58"/>
    <w:rsid w:val="00FA02AC"/>
    <w:rsid w:val="00FB39EB"/>
    <w:rsid w:val="00FB581B"/>
    <w:rsid w:val="00FC7029"/>
    <w:rsid w:val="00FF4368"/>
    <w:rsid w:val="00FF4789"/>
    <w:rsid w:val="00FF4805"/>
    <w:rsid w:val="00FF6A1B"/>
    <w:rsid w:val="00FF6A2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7A9F8A"/>
  <w15:chartTrackingRefBased/>
  <w15:docId w15:val="{B34F1608-A9EA-4BBB-A6B5-C3AF4C5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rsid w:val="00B71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  <w:lang w:eastAsia="pl-PL"/>
    </w:rPr>
  </w:style>
  <w:style w:type="paragraph" w:styleId="Nagwek3">
    <w:name w:val="heading 3"/>
    <w:basedOn w:val="Normalny"/>
    <w:next w:val="Normalny"/>
    <w:qFormat/>
    <w:pPr>
      <w:keepNext/>
      <w:ind w:left="4536"/>
      <w:jc w:val="both"/>
      <w:outlineLvl w:val="2"/>
    </w:pPr>
    <w:rPr>
      <w:b/>
      <w:sz w:val="28"/>
      <w:lang w:eastAsia="pl-PL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numPr>
        <w:ilvl w:val="12"/>
      </w:numPr>
      <w:ind w:left="34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426" w:hanging="426"/>
    </w:p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3A456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C297C"/>
    <w:rPr>
      <w:sz w:val="16"/>
      <w:szCs w:val="16"/>
    </w:rPr>
  </w:style>
  <w:style w:type="paragraph" w:styleId="Tekstkomentarza">
    <w:name w:val="annotation text"/>
    <w:basedOn w:val="Normalny"/>
    <w:semiHidden/>
    <w:rsid w:val="002C297C"/>
  </w:style>
  <w:style w:type="paragraph" w:styleId="Tematkomentarza">
    <w:name w:val="annotation subject"/>
    <w:basedOn w:val="Tekstkomentarza"/>
    <w:next w:val="Tekstkomentarza"/>
    <w:semiHidden/>
    <w:rsid w:val="002C297C"/>
    <w:rPr>
      <w:b/>
      <w:bCs/>
    </w:rPr>
  </w:style>
  <w:style w:type="paragraph" w:customStyle="1" w:styleId="ZnakZnakCharCharZnakZnak">
    <w:name w:val="Znak Znak Char Char Znak Znak"/>
    <w:basedOn w:val="Normalny"/>
    <w:rsid w:val="00927D09"/>
    <w:pPr>
      <w:spacing w:after="160" w:line="240" w:lineRule="exact"/>
    </w:pPr>
    <w:rPr>
      <w:rFonts w:ascii="Tahoma" w:eastAsia="MS Mincho" w:hAnsi="Tahoma" w:cs="Tahoma"/>
      <w:lang w:val="en-US"/>
    </w:rPr>
  </w:style>
  <w:style w:type="paragraph" w:customStyle="1" w:styleId="a">
    <w:basedOn w:val="Normalny"/>
    <w:rsid w:val="0010325A"/>
    <w:rPr>
      <w:sz w:val="24"/>
      <w:szCs w:val="24"/>
      <w:lang w:eastAsia="pl-PL"/>
    </w:rPr>
  </w:style>
  <w:style w:type="table" w:styleId="Tabela-Siatka">
    <w:name w:val="Table Grid"/>
    <w:basedOn w:val="Standardowy"/>
    <w:rsid w:val="0010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D11740"/>
    <w:rPr>
      <w:lang w:eastAsia="en-US"/>
    </w:rPr>
  </w:style>
  <w:style w:type="paragraph" w:customStyle="1" w:styleId="t36">
    <w:name w:val="t36"/>
    <w:basedOn w:val="Normalny"/>
    <w:rsid w:val="00D11740"/>
    <w:pPr>
      <w:widowControl w:val="0"/>
      <w:spacing w:line="240" w:lineRule="atLeast"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DC6750"/>
    <w:rPr>
      <w:lang w:eastAsia="en-US"/>
    </w:rPr>
  </w:style>
  <w:style w:type="paragraph" w:styleId="Poprawka">
    <w:name w:val="Revision"/>
    <w:hidden/>
    <w:uiPriority w:val="99"/>
    <w:semiHidden/>
    <w:rsid w:val="00452517"/>
    <w:rPr>
      <w:lang w:eastAsia="en-US"/>
    </w:rPr>
  </w:style>
  <w:style w:type="paragraph" w:customStyle="1" w:styleId="ZnakZnak1ZnakZnakZnakZnak">
    <w:name w:val="Znak Znak1 Znak Znak Znak Znak"/>
    <w:basedOn w:val="Normalny"/>
    <w:rsid w:val="00AE58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8A4E-F11B-4B7C-BC67-FC8B8022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1192</Words>
  <Characters>9249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mbr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mbin</dc:creator>
  <cp:keywords/>
  <cp:lastModifiedBy>Renata Gustek</cp:lastModifiedBy>
  <cp:revision>20</cp:revision>
  <cp:lastPrinted>2019-10-04T09:58:00Z</cp:lastPrinted>
  <dcterms:created xsi:type="dcterms:W3CDTF">2022-03-09T10:51:00Z</dcterms:created>
  <dcterms:modified xsi:type="dcterms:W3CDTF">2024-03-19T11:32:00Z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BANK\tymoteusz.krawczyk;Tymoteusz Krawczyk</vt:lpwstr>
  </property>
  <property fmtid="{D5CDD505-2E9C-101B-9397-08002B2CF9AE}" pid="4" name="BPSClassificationDate">
    <vt:lpwstr>2018-02-12T09:40:04.5176388+01:00</vt:lpwstr>
  </property>
  <property fmtid="{D5CDD505-2E9C-101B-9397-08002B2CF9AE}" pid="5" name="BPSClassifiedBySID">
    <vt:lpwstr>BANK\S-1-5-21-2235066060-4034229115-1914166231-22743</vt:lpwstr>
  </property>
  <property fmtid="{D5CDD505-2E9C-101B-9397-08002B2CF9AE}" pid="6" name="BPSGRNItemId">
    <vt:lpwstr>GRN-ff8d2d29-4fcd-4c3d-a724-649fa2d68e38</vt:lpwstr>
  </property>
  <property fmtid="{D5CDD505-2E9C-101B-9397-08002B2CF9AE}" pid="7" name="BPSHash">
    <vt:lpwstr>WhoSBpu7hrQQqQZZbNFqqXo5BFVPpfZNuTfUBCqqSiA=</vt:lpwstr>
  </property>
  <property fmtid="{D5CDD505-2E9C-101B-9397-08002B2CF9AE}" pid="8" name="BPSRefresh">
    <vt:lpwstr>False</vt:lpwstr>
  </property>
</Properties>
</file>